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_GBK" w:hAnsi="方正小标宋_GBK" w:eastAsia="方正小标宋_GBK" w:cs="方正小标宋_GBK"/>
          <w:sz w:val="44"/>
          <w:szCs w:val="44"/>
          <w:lang w:val="en-US" w:eastAsia="zh-CN"/>
        </w:rPr>
      </w:pPr>
      <w:bookmarkStart w:id="0" w:name="_GoBack"/>
      <w:bookmarkEnd w:id="0"/>
      <w:r>
        <w:rPr>
          <w:rFonts w:hint="eastAsia" w:ascii="方正小标宋_GBK" w:hAnsi="方正小标宋_GBK" w:eastAsia="方正小标宋_GBK" w:cs="方正小标宋_GBK"/>
          <w:sz w:val="44"/>
          <w:szCs w:val="44"/>
          <w:lang w:val="en-US" w:eastAsia="zh-CN"/>
        </w:rPr>
        <w:t>池州市广交会一般性展位安排办法</w:t>
      </w:r>
    </w:p>
    <w:p>
      <w:pPr>
        <w:keepNext w:val="0"/>
        <w:keepLines w:val="0"/>
        <w:pageBreakBefore w:val="0"/>
        <w:kinsoku/>
        <w:wordWrap/>
        <w:overflowPunct/>
        <w:topLinePunct w:val="0"/>
        <w:bidi w:val="0"/>
        <w:snapToGrid/>
        <w:spacing w:line="560" w:lineRule="exact"/>
        <w:jc w:val="center"/>
        <w:textAlignment w:val="auto"/>
        <w:rPr>
          <w:rFonts w:hint="eastAsia" w:ascii="仿宋_GB2312" w:hAnsi="仿宋_GB2312" w:eastAsia="仿宋_GB2312" w:cs="仿宋_GB2312"/>
          <w:b/>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《安徽省广交会一般性展位安排及管理办法》要求</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为提升外贸企业广交会参展水平，优化参展企业结构，促进我市外贸发展</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本着公平、公正、公开原则，</w:t>
      </w:r>
      <w:r>
        <w:rPr>
          <w:rFonts w:hint="eastAsia" w:ascii="仿宋_GB2312" w:hAnsi="仿宋_GB2312" w:eastAsia="仿宋_GB2312" w:cs="仿宋_GB2312"/>
          <w:sz w:val="32"/>
          <w:szCs w:val="32"/>
        </w:rPr>
        <w:t>制定</w:t>
      </w:r>
      <w:r>
        <w:rPr>
          <w:rFonts w:hint="eastAsia" w:ascii="仿宋_GB2312" w:hAnsi="仿宋_GB2312" w:eastAsia="仿宋_GB2312" w:cs="仿宋_GB2312"/>
          <w:sz w:val="32"/>
          <w:szCs w:val="32"/>
          <w:lang w:eastAsia="zh-CN"/>
        </w:rPr>
        <w:t>本办法</w:t>
      </w:r>
      <w:r>
        <w:rPr>
          <w:rFonts w:hint="eastAsia" w:ascii="仿宋_GB2312" w:hAnsi="仿宋_GB2312" w:eastAsia="仿宋_GB2312" w:cs="仿宋_GB2312"/>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第一章</w:t>
      </w:r>
      <w:r>
        <w:rPr>
          <w:rFonts w:hint="eastAsia" w:ascii="黑体" w:hAnsi="黑体" w:eastAsia="黑体" w:cs="黑体"/>
          <w:sz w:val="32"/>
          <w:szCs w:val="32"/>
          <w:lang w:val="en-US" w:eastAsia="zh-CN"/>
        </w:rPr>
        <w:t xml:space="preserve"> 总则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黑体" w:hAnsi="黑体" w:eastAsia="黑体" w:cs="黑体"/>
          <w:sz w:val="32"/>
          <w:szCs w:val="32"/>
          <w:lang w:val="en-US" w:eastAsia="zh-CN"/>
        </w:rPr>
        <w:t>第一条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kern w:val="2"/>
          <w:sz w:val="32"/>
          <w:szCs w:val="32"/>
          <w:lang w:val="en-US" w:eastAsia="zh-CN" w:bidi="ar"/>
        </w:rPr>
        <w:t>广交会展位分品牌性展位、一般性展位。其中一般性展位由安徽省交易团以134届广交会各市一般性展位数量为基数切块到各市，由各市进行安排。本办法适用于省交易团切块下达我市的一般性展位分配，分配按展区分别进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第二章 参展资格</w:t>
      </w:r>
    </w:p>
    <w:p>
      <w:pPr>
        <w:pStyle w:val="4"/>
        <w:widowControl/>
        <w:spacing w:before="0" w:beforeAutospacing="0" w:after="0" w:afterAutospacing="0" w:line="630" w:lineRule="atLeast"/>
        <w:ind w:firstLine="640"/>
        <w:rPr>
          <w:rFonts w:hint="eastAsia" w:ascii="仿宋_GB2312" w:hAnsi="仿宋_GB2312" w:eastAsia="仿宋_GB2312" w:cs="仿宋_GB2312"/>
          <w:kern w:val="2"/>
          <w:sz w:val="32"/>
          <w:szCs w:val="32"/>
          <w:lang w:val="en-US" w:eastAsia="zh-CN"/>
        </w:rPr>
      </w:pPr>
      <w:r>
        <w:rPr>
          <w:rFonts w:hint="eastAsia" w:ascii="黑体" w:hAnsi="黑体" w:eastAsia="黑体" w:cs="黑体"/>
          <w:sz w:val="32"/>
          <w:szCs w:val="32"/>
          <w:lang w:val="en-US" w:eastAsia="zh-CN"/>
        </w:rPr>
        <w:t>第二条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kern w:val="2"/>
          <w:sz w:val="32"/>
          <w:szCs w:val="32"/>
          <w:lang w:val="en-US" w:eastAsia="zh-CN"/>
        </w:rPr>
        <w:t>参展企业应具备以下条件：</w:t>
      </w:r>
    </w:p>
    <w:p>
      <w:pPr>
        <w:pStyle w:val="4"/>
        <w:widowControl/>
        <w:spacing w:before="0" w:beforeAutospacing="0" w:after="0" w:afterAutospacing="0" w:line="630" w:lineRule="atLeast"/>
        <w:ind w:firstLine="640"/>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（一）依法取得法人营业执照，并已办理进出口企业代码。</w:t>
      </w:r>
    </w:p>
    <w:p>
      <w:pPr>
        <w:pStyle w:val="4"/>
        <w:widowControl/>
        <w:spacing w:before="0" w:beforeAutospacing="0" w:after="0" w:afterAutospacing="0" w:line="630" w:lineRule="atLeast"/>
        <w:ind w:firstLine="640"/>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（二）对应展区出口金额达到以下最低标准：</w:t>
      </w:r>
    </w:p>
    <w:p>
      <w:pPr>
        <w:pStyle w:val="4"/>
        <w:widowControl/>
        <w:spacing w:before="0" w:beforeAutospacing="0" w:after="0" w:afterAutospacing="0" w:line="630" w:lineRule="atLeast"/>
        <w:ind w:firstLine="640"/>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流通型企业75万美元；非流通型企业40万美元。</w:t>
      </w:r>
    </w:p>
    <w:p>
      <w:pPr>
        <w:pStyle w:val="4"/>
        <w:widowControl/>
        <w:spacing w:before="0" w:beforeAutospacing="0" w:after="0" w:afterAutospacing="0" w:line="630" w:lineRule="atLeast"/>
        <w:ind w:firstLine="640"/>
        <w:rPr>
          <w:rFonts w:hint="eastAsia" w:ascii="仿宋_GB2312" w:hAnsi="仿宋_GB2312" w:eastAsia="仿宋_GB2312" w:cs="仿宋_GB2312"/>
          <w:color w:val="auto"/>
          <w:kern w:val="2"/>
          <w:sz w:val="32"/>
          <w:szCs w:val="32"/>
          <w:highlight w:val="none"/>
          <w:lang w:val="en-US" w:eastAsia="zh-CN"/>
        </w:rPr>
      </w:pPr>
      <w:r>
        <w:rPr>
          <w:rFonts w:hint="eastAsia" w:ascii="仿宋_GB2312" w:hAnsi="仿宋_GB2312" w:eastAsia="仿宋_GB2312" w:cs="仿宋_GB2312"/>
          <w:color w:val="auto"/>
          <w:kern w:val="2"/>
          <w:sz w:val="32"/>
          <w:szCs w:val="32"/>
          <w:highlight w:val="none"/>
          <w:lang w:val="en-US" w:eastAsia="zh-CN"/>
        </w:rPr>
        <w:t>（三）为扶持有发展潜力的新企业或中小企业发展，可安排不超过展位总数20%符合（一）条件，但未达到（二）规定最低出口额要求的企业参展。</w:t>
      </w:r>
    </w:p>
    <w:p>
      <w:pPr>
        <w:pStyle w:val="4"/>
        <w:widowControl/>
        <w:spacing w:before="0" w:beforeAutospacing="0" w:after="0" w:afterAutospacing="0" w:line="630" w:lineRule="atLeast"/>
        <w:ind w:firstLine="640"/>
        <w:rPr>
          <w:rFonts w:hint="eastAsia" w:ascii="仿宋_GB2312" w:hAnsi="仿宋_GB2312" w:eastAsia="仿宋_GB2312" w:cs="仿宋_GB2312"/>
          <w:kern w:val="2"/>
          <w:sz w:val="32"/>
          <w:szCs w:val="32"/>
          <w:lang w:val="en-US" w:eastAsia="zh-CN"/>
        </w:rPr>
      </w:pPr>
      <w:r>
        <w:rPr>
          <w:rFonts w:hint="eastAsia" w:ascii="黑体" w:hAnsi="黑体" w:eastAsia="黑体" w:cs="黑体"/>
          <w:sz w:val="32"/>
          <w:szCs w:val="32"/>
          <w:lang w:val="en-US" w:eastAsia="zh-CN"/>
        </w:rPr>
        <w:t>第三条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kern w:val="2"/>
          <w:sz w:val="32"/>
          <w:szCs w:val="32"/>
          <w:lang w:val="en-US" w:eastAsia="zh-CN"/>
        </w:rPr>
        <w:t>属下列情况之一的企业禁止参展：</w:t>
      </w:r>
    </w:p>
    <w:p>
      <w:pPr>
        <w:pStyle w:val="4"/>
        <w:widowControl/>
        <w:spacing w:before="0" w:beforeAutospacing="0" w:after="0" w:afterAutospacing="0" w:line="630" w:lineRule="atLeast"/>
        <w:ind w:firstLine="640"/>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（一）商务部向社会公告的违规违法企业，在公告期内禁止参展。</w:t>
      </w:r>
    </w:p>
    <w:p>
      <w:pPr>
        <w:pStyle w:val="4"/>
        <w:widowControl/>
        <w:spacing w:before="0" w:beforeAutospacing="0" w:after="0" w:afterAutospacing="0" w:line="630" w:lineRule="atLeast"/>
        <w:ind w:firstLine="640"/>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（二）国家环保、海关、税务、市监、外汇、药监等部门通报的违规违法企业, 在处罚期限内禁止参展。</w:t>
      </w:r>
    </w:p>
    <w:p>
      <w:pPr>
        <w:pStyle w:val="4"/>
        <w:widowControl/>
        <w:spacing w:before="0" w:beforeAutospacing="0" w:after="0" w:afterAutospacing="0" w:line="630" w:lineRule="atLeast"/>
        <w:ind w:firstLine="640"/>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（三）被司法机关、仲裁机关或知识产权行政管理机关认定侵权的企业。</w:t>
      </w:r>
    </w:p>
    <w:p>
      <w:pPr>
        <w:pStyle w:val="4"/>
        <w:widowControl/>
        <w:spacing w:before="0" w:beforeAutospacing="0" w:after="0" w:afterAutospacing="0" w:line="630" w:lineRule="atLeast"/>
        <w:ind w:firstLine="640"/>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（四）违规转让或转租（卖）广交会展位且在处罚期限内的企业。</w:t>
      </w:r>
    </w:p>
    <w:p>
      <w:pPr>
        <w:pStyle w:val="4"/>
        <w:widowControl/>
        <w:spacing w:before="0" w:beforeAutospacing="0" w:after="0" w:afterAutospacing="0" w:line="630" w:lineRule="atLeast"/>
        <w:ind w:firstLine="640"/>
        <w:rPr>
          <w:rFonts w:hint="default" w:ascii="仿宋_GB2312" w:hAnsi="仿宋_GB2312" w:eastAsia="仿宋_GB2312" w:cs="仿宋_GB2312"/>
          <w:kern w:val="2"/>
          <w:sz w:val="32"/>
          <w:szCs w:val="32"/>
          <w:lang w:val="en-US" w:eastAsia="zh-CN"/>
        </w:rPr>
      </w:pPr>
      <w:r>
        <w:rPr>
          <w:rFonts w:hint="eastAsia" w:ascii="黑体" w:hAnsi="黑体" w:eastAsia="黑体" w:cs="黑体"/>
          <w:sz w:val="32"/>
          <w:szCs w:val="32"/>
          <w:lang w:val="en-US" w:eastAsia="zh-CN"/>
        </w:rPr>
        <w:t xml:space="preserve">第四条  </w:t>
      </w:r>
      <w:r>
        <w:rPr>
          <w:rFonts w:hint="eastAsia" w:ascii="仿宋_GB2312" w:hAnsi="仿宋_GB2312" w:eastAsia="仿宋_GB2312" w:cs="仿宋_GB2312"/>
          <w:kern w:val="2"/>
          <w:sz w:val="32"/>
          <w:szCs w:val="32"/>
          <w:lang w:val="en-US" w:eastAsia="zh-CN"/>
        </w:rPr>
        <w:t>属</w:t>
      </w:r>
      <w:r>
        <w:rPr>
          <w:rFonts w:hint="default" w:ascii="仿宋_GB2312" w:hAnsi="仿宋_GB2312" w:eastAsia="仿宋_GB2312" w:cs="仿宋_GB2312"/>
          <w:kern w:val="2"/>
          <w:sz w:val="32"/>
          <w:szCs w:val="32"/>
          <w:lang w:val="en-US" w:eastAsia="zh-CN"/>
        </w:rPr>
        <w:t>下列情况之一的展品禁止参展：</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2"/>
          <w:sz w:val="32"/>
          <w:szCs w:val="32"/>
          <w:lang w:val="en-US" w:eastAsia="zh-CN"/>
        </w:rPr>
      </w:pPr>
      <w:r>
        <w:rPr>
          <w:rFonts w:hint="default" w:ascii="仿宋_GB2312" w:hAnsi="仿宋_GB2312" w:eastAsia="仿宋_GB2312" w:cs="仿宋_GB2312"/>
          <w:kern w:val="2"/>
          <w:sz w:val="32"/>
          <w:szCs w:val="32"/>
          <w:lang w:val="en-US" w:eastAsia="zh-CN"/>
        </w:rPr>
        <w:t>（一）《中国进出口商品交易会参展展品范围（出口展）》规定之外的展品。</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2"/>
          <w:sz w:val="32"/>
          <w:szCs w:val="32"/>
          <w:lang w:val="en-US" w:eastAsia="zh-CN"/>
        </w:rPr>
      </w:pPr>
      <w:r>
        <w:rPr>
          <w:rFonts w:hint="default" w:ascii="仿宋_GB2312" w:hAnsi="仿宋_GB2312" w:eastAsia="仿宋_GB2312" w:cs="仿宋_GB2312"/>
          <w:kern w:val="2"/>
          <w:sz w:val="32"/>
          <w:szCs w:val="32"/>
          <w:lang w:val="en-US" w:eastAsia="zh-CN"/>
        </w:rPr>
        <w:t>（二）不符合《中华人民共和国产品质量法》、《中华人民共和国进出口商品检验法》 及其他有关出口产品质量法律法规规定的展品。</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2"/>
          <w:sz w:val="32"/>
          <w:szCs w:val="32"/>
          <w:lang w:val="en-US" w:eastAsia="zh-CN"/>
        </w:rPr>
      </w:pPr>
      <w:r>
        <w:rPr>
          <w:rFonts w:hint="default" w:ascii="仿宋_GB2312" w:hAnsi="仿宋_GB2312" w:eastAsia="仿宋_GB2312" w:cs="仿宋_GB2312"/>
          <w:kern w:val="2"/>
          <w:sz w:val="32"/>
          <w:szCs w:val="32"/>
          <w:lang w:val="en-US" w:eastAsia="zh-CN"/>
        </w:rPr>
        <w:t>（三）涉及商标、专利、版权，但未取得合法权利证书或使用许可合同的展品。</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kern w:val="2"/>
          <w:sz w:val="32"/>
          <w:szCs w:val="32"/>
          <w:lang w:val="en-US" w:eastAsia="zh-CN"/>
        </w:rPr>
        <w:t>（</w:t>
      </w:r>
      <w:r>
        <w:rPr>
          <w:rFonts w:hint="default" w:ascii="仿宋_GB2312" w:hAnsi="仿宋_GB2312" w:eastAsia="仿宋_GB2312" w:cs="仿宋_GB2312"/>
          <w:kern w:val="2"/>
          <w:sz w:val="32"/>
          <w:szCs w:val="32"/>
          <w:lang w:val="en-US" w:eastAsia="zh-CN"/>
        </w:rPr>
        <w:t>四）在商务、出入境检验检疫机构、药品等质量监督管理部门有不良记录且未经复检合格的展品。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第三章 展位安排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第五条</w:t>
      </w:r>
      <w:r>
        <w:rPr>
          <w:rFonts w:hint="eastAsia" w:ascii="仿宋_GB2312" w:hAnsi="仿宋_GB2312" w:eastAsia="仿宋_GB2312" w:cs="仿宋_GB2312"/>
          <w:sz w:val="32"/>
          <w:szCs w:val="32"/>
          <w:lang w:val="en-US" w:eastAsia="zh-CN"/>
        </w:rPr>
        <w:t xml:space="preserve">  一般性展位安排原则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（一）稳定性和持续性原则。</w:t>
      </w:r>
      <w:r>
        <w:rPr>
          <w:rFonts w:hint="eastAsia" w:ascii="仿宋_GB2312" w:hAnsi="仿宋_GB2312" w:eastAsia="仿宋_GB2312" w:cs="仿宋_GB2312"/>
          <w:sz w:val="32"/>
          <w:szCs w:val="32"/>
          <w:lang w:eastAsia="zh-CN"/>
        </w:rPr>
        <w:t>某一展区省交易团切块数量与企业申请情况较上一届无变化，则参照上一届进行安排。展位安排实行一年一评，原则上保持两届不变。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（二）量化评分原则。各县（区）商务主管部门按照评审标准对符合第二章参展资格的企业进行初审评分，市商务局进行终审评分，根据评分排序情况安排展位。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总量平衡与充分参展原则。对于同一企业申请多个展区或多个展位、多个企业申请同个展区展位情况，根据企业性质、出口贡献度和当届申请总体情况，综合考虑安排展位数量，尽可能给予更多企业参展机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（四）支持安徽出口品牌企业、高新技术企业、生产型企业原则。支持企业优化出口产品结构，提升产品附加值，鼓励环保、节能产品参展。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（五）动态更新原则。展位分配实行动态管理，末位淘汰，同时对连续两年在相应展区参展而没有出口业绩增长的企业酌情扣减相应展位。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第六条</w:t>
      </w:r>
      <w:r>
        <w:rPr>
          <w:rFonts w:hint="eastAsia" w:ascii="仿宋_GB2312" w:hAnsi="仿宋_GB2312" w:eastAsia="仿宋_GB2312" w:cs="仿宋_GB2312"/>
          <w:sz w:val="32"/>
          <w:szCs w:val="32"/>
          <w:lang w:val="en-US" w:eastAsia="zh-CN"/>
        </w:rPr>
        <w:t xml:space="preserve">  一般性展位评审标准（满分100分）</w:t>
      </w:r>
    </w:p>
    <w:p>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u w:val="none"/>
        </w:rPr>
      </w:pPr>
      <w:r>
        <w:rPr>
          <w:rFonts w:hint="eastAsia" w:ascii="仿宋_GB2312" w:hAnsi="仿宋_GB2312" w:eastAsia="仿宋_GB2312" w:cs="仿宋_GB2312"/>
          <w:b w:val="0"/>
          <w:bCs w:val="0"/>
          <w:color w:val="auto"/>
          <w:sz w:val="32"/>
          <w:szCs w:val="32"/>
          <w:highlight w:val="none"/>
          <w:u w:val="none"/>
        </w:rPr>
        <w:t>（一）出口额</w:t>
      </w:r>
      <w:r>
        <w:rPr>
          <w:rFonts w:hint="eastAsia" w:ascii="仿宋_GB2312" w:hAnsi="仿宋_GB2312" w:eastAsia="仿宋_GB2312" w:cs="仿宋_GB2312"/>
          <w:b w:val="0"/>
          <w:bCs w:val="0"/>
          <w:color w:val="auto"/>
          <w:sz w:val="32"/>
          <w:szCs w:val="32"/>
          <w:highlight w:val="none"/>
          <w:u w:val="none"/>
          <w:lang w:eastAsia="zh-CN"/>
        </w:rPr>
        <w:t>及出口增幅</w:t>
      </w:r>
      <w:r>
        <w:rPr>
          <w:rFonts w:hint="eastAsia" w:ascii="仿宋_GB2312" w:hAnsi="仿宋_GB2312" w:eastAsia="仿宋_GB2312" w:cs="仿宋_GB2312"/>
          <w:b w:val="0"/>
          <w:bCs w:val="0"/>
          <w:color w:val="auto"/>
          <w:sz w:val="32"/>
          <w:szCs w:val="32"/>
          <w:highlight w:val="none"/>
          <w:u w:val="none"/>
        </w:rPr>
        <w:t>（</w:t>
      </w:r>
      <w:r>
        <w:rPr>
          <w:rFonts w:hint="eastAsia" w:ascii="仿宋_GB2312" w:hAnsi="仿宋_GB2312" w:eastAsia="仿宋_GB2312" w:cs="仿宋_GB2312"/>
          <w:b w:val="0"/>
          <w:bCs w:val="0"/>
          <w:color w:val="auto"/>
          <w:sz w:val="32"/>
          <w:szCs w:val="32"/>
          <w:highlight w:val="none"/>
          <w:u w:val="none"/>
          <w:lang w:val="en-US" w:eastAsia="zh-CN"/>
        </w:rPr>
        <w:t>50</w:t>
      </w:r>
      <w:r>
        <w:rPr>
          <w:rFonts w:hint="eastAsia" w:ascii="仿宋_GB2312" w:hAnsi="仿宋_GB2312" w:eastAsia="仿宋_GB2312" w:cs="仿宋_GB2312"/>
          <w:b w:val="0"/>
          <w:bCs w:val="0"/>
          <w:color w:val="auto"/>
          <w:sz w:val="32"/>
          <w:szCs w:val="32"/>
          <w:highlight w:val="none"/>
          <w:u w:val="none"/>
        </w:rPr>
        <w:t>分）</w:t>
      </w:r>
    </w:p>
    <w:p>
      <w:pPr>
        <w:keepNext w:val="0"/>
        <w:keepLines w:val="0"/>
        <w:pageBreakBefore w:val="0"/>
        <w:kinsoku/>
        <w:wordWrap/>
        <w:overflowPunct/>
        <w:topLinePunct w:val="0"/>
        <w:bidi w:val="0"/>
        <w:snapToGrid/>
        <w:spacing w:line="560" w:lineRule="exact"/>
        <w:ind w:firstLine="640" w:firstLineChars="200"/>
        <w:textAlignment w:val="auto"/>
        <w:rPr>
          <w:rFonts w:hint="default"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val="0"/>
          <w:bCs w:val="0"/>
          <w:color w:val="auto"/>
          <w:sz w:val="32"/>
          <w:szCs w:val="32"/>
          <w:highlight w:val="none"/>
          <w:u w:val="none"/>
          <w:lang w:val="en-US" w:eastAsia="zh-CN"/>
        </w:rPr>
        <w:t>1.前三年海关统计平均出口额(35分)</w:t>
      </w:r>
    </w:p>
    <w:p>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u w:val="none"/>
          <w:lang w:eastAsia="zh-CN"/>
        </w:rPr>
      </w:pPr>
      <w:r>
        <w:rPr>
          <w:rFonts w:hint="eastAsia" w:ascii="仿宋_GB2312" w:hAnsi="仿宋_GB2312" w:eastAsia="仿宋_GB2312" w:cs="仿宋_GB2312"/>
          <w:b w:val="0"/>
          <w:bCs w:val="0"/>
          <w:color w:val="auto"/>
          <w:sz w:val="32"/>
          <w:szCs w:val="32"/>
          <w:highlight w:val="none"/>
          <w:u w:val="none"/>
          <w:lang w:val="en-US" w:eastAsia="zh-CN"/>
        </w:rPr>
        <w:t>非流通型企业</w:t>
      </w:r>
      <w:r>
        <w:rPr>
          <w:rFonts w:hint="eastAsia" w:ascii="仿宋_GB2312" w:hAnsi="仿宋_GB2312" w:eastAsia="仿宋_GB2312" w:cs="仿宋_GB2312"/>
          <w:b w:val="0"/>
          <w:bCs w:val="0"/>
          <w:color w:val="auto"/>
          <w:sz w:val="32"/>
          <w:szCs w:val="32"/>
          <w:highlight w:val="none"/>
          <w:u w:val="none"/>
        </w:rPr>
        <w:t>展区出口额达到</w:t>
      </w:r>
      <w:r>
        <w:rPr>
          <w:rFonts w:hint="eastAsia" w:ascii="仿宋_GB2312" w:hAnsi="仿宋_GB2312" w:eastAsia="仿宋_GB2312" w:cs="仿宋_GB2312"/>
          <w:b w:val="0"/>
          <w:bCs w:val="0"/>
          <w:color w:val="auto"/>
          <w:sz w:val="32"/>
          <w:szCs w:val="32"/>
          <w:highlight w:val="none"/>
          <w:u w:val="none"/>
          <w:lang w:val="en-US" w:eastAsia="zh-CN"/>
        </w:rPr>
        <w:t>40</w:t>
      </w:r>
      <w:r>
        <w:rPr>
          <w:rFonts w:hint="eastAsia" w:ascii="仿宋_GB2312" w:hAnsi="仿宋_GB2312" w:eastAsia="仿宋_GB2312" w:cs="仿宋_GB2312"/>
          <w:b w:val="0"/>
          <w:bCs w:val="0"/>
          <w:color w:val="auto"/>
          <w:sz w:val="32"/>
          <w:szCs w:val="32"/>
          <w:highlight w:val="none"/>
          <w:u w:val="none"/>
        </w:rPr>
        <w:t>万美元、流通型企业达到</w:t>
      </w:r>
      <w:r>
        <w:rPr>
          <w:rFonts w:hint="eastAsia" w:ascii="仿宋_GB2312" w:hAnsi="仿宋_GB2312" w:eastAsia="仿宋_GB2312" w:cs="仿宋_GB2312"/>
          <w:b w:val="0"/>
          <w:bCs w:val="0"/>
          <w:color w:val="auto"/>
          <w:sz w:val="32"/>
          <w:szCs w:val="32"/>
          <w:highlight w:val="none"/>
          <w:u w:val="none"/>
          <w:lang w:val="en-US" w:eastAsia="zh-CN"/>
        </w:rPr>
        <w:t>75</w:t>
      </w:r>
      <w:r>
        <w:rPr>
          <w:rFonts w:hint="eastAsia" w:ascii="仿宋_GB2312" w:hAnsi="仿宋_GB2312" w:eastAsia="仿宋_GB2312" w:cs="仿宋_GB2312"/>
          <w:b w:val="0"/>
          <w:bCs w:val="0"/>
          <w:color w:val="auto"/>
          <w:sz w:val="32"/>
          <w:szCs w:val="32"/>
          <w:highlight w:val="none"/>
          <w:u w:val="none"/>
        </w:rPr>
        <w:t>万美元，可获基础分</w:t>
      </w:r>
      <w:r>
        <w:rPr>
          <w:rFonts w:hint="eastAsia" w:ascii="仿宋_GB2312" w:hAnsi="仿宋_GB2312" w:eastAsia="仿宋_GB2312" w:cs="仿宋_GB2312"/>
          <w:b w:val="0"/>
          <w:bCs w:val="0"/>
          <w:color w:val="auto"/>
          <w:sz w:val="32"/>
          <w:szCs w:val="32"/>
          <w:highlight w:val="none"/>
          <w:u w:val="none"/>
          <w:lang w:val="en-US" w:eastAsia="zh-CN"/>
        </w:rPr>
        <w:t>10</w:t>
      </w:r>
      <w:r>
        <w:rPr>
          <w:rFonts w:hint="eastAsia" w:ascii="仿宋_GB2312" w:hAnsi="仿宋_GB2312" w:eastAsia="仿宋_GB2312" w:cs="仿宋_GB2312"/>
          <w:b w:val="0"/>
          <w:bCs w:val="0"/>
          <w:color w:val="auto"/>
          <w:sz w:val="32"/>
          <w:szCs w:val="32"/>
          <w:highlight w:val="none"/>
          <w:u w:val="none"/>
        </w:rPr>
        <w:t>分；企业出口每增加</w:t>
      </w:r>
      <w:r>
        <w:rPr>
          <w:rFonts w:hint="eastAsia" w:ascii="仿宋_GB2312" w:hAnsi="仿宋_GB2312" w:eastAsia="仿宋_GB2312" w:cs="仿宋_GB2312"/>
          <w:b w:val="0"/>
          <w:bCs w:val="0"/>
          <w:color w:val="auto"/>
          <w:sz w:val="32"/>
          <w:szCs w:val="32"/>
          <w:highlight w:val="none"/>
          <w:u w:val="none"/>
          <w:lang w:eastAsia="zh-CN"/>
        </w:rPr>
        <w:t>20</w:t>
      </w:r>
      <w:r>
        <w:rPr>
          <w:rFonts w:ascii="仿宋_GB2312" w:hAnsi="仿宋_GB2312" w:eastAsia="仿宋_GB2312" w:cs="仿宋_GB2312"/>
          <w:b w:val="0"/>
          <w:bCs w:val="0"/>
          <w:color w:val="auto"/>
          <w:sz w:val="32"/>
          <w:szCs w:val="32"/>
          <w:highlight w:val="none"/>
          <w:u w:val="none"/>
        </w:rPr>
        <w:t>万美元</w:t>
      </w:r>
      <w:r>
        <w:rPr>
          <w:rFonts w:hint="eastAsia" w:ascii="仿宋_GB2312" w:hAnsi="仿宋_GB2312" w:eastAsia="仿宋_GB2312" w:cs="仿宋_GB2312"/>
          <w:b w:val="0"/>
          <w:bCs w:val="0"/>
          <w:color w:val="auto"/>
          <w:sz w:val="32"/>
          <w:szCs w:val="32"/>
          <w:highlight w:val="none"/>
          <w:u w:val="none"/>
          <w:lang w:val="en-US" w:eastAsia="zh-CN"/>
        </w:rPr>
        <w:t>加1分</w:t>
      </w:r>
      <w:r>
        <w:rPr>
          <w:rFonts w:hint="eastAsia" w:ascii="仿宋_GB2312" w:hAnsi="仿宋_GB2312" w:eastAsia="仿宋_GB2312" w:cs="仿宋_GB2312"/>
          <w:b w:val="0"/>
          <w:bCs w:val="0"/>
          <w:color w:val="auto"/>
          <w:sz w:val="32"/>
          <w:szCs w:val="32"/>
          <w:highlight w:val="none"/>
          <w:u w:val="none"/>
        </w:rPr>
        <w:t>。出口额统计</w:t>
      </w:r>
      <w:r>
        <w:rPr>
          <w:rFonts w:hint="eastAsia" w:ascii="仿宋_GB2312" w:hAnsi="仿宋_GB2312" w:eastAsia="仿宋_GB2312" w:cs="仿宋_GB2312"/>
          <w:b w:val="0"/>
          <w:bCs w:val="0"/>
          <w:color w:val="auto"/>
          <w:sz w:val="32"/>
          <w:szCs w:val="32"/>
          <w:highlight w:val="none"/>
          <w:u w:val="none"/>
          <w:lang w:eastAsia="zh-CN"/>
        </w:rPr>
        <w:t>取最近三年</w:t>
      </w:r>
      <w:r>
        <w:rPr>
          <w:rFonts w:hint="eastAsia" w:ascii="仿宋_GB2312" w:hAnsi="仿宋_GB2312" w:eastAsia="仿宋_GB2312" w:cs="仿宋_GB2312"/>
          <w:b w:val="0"/>
          <w:bCs w:val="0"/>
          <w:color w:val="auto"/>
          <w:sz w:val="32"/>
          <w:szCs w:val="32"/>
          <w:highlight w:val="none"/>
          <w:u w:val="none"/>
        </w:rPr>
        <w:t>海关统计数据</w:t>
      </w:r>
      <w:r>
        <w:rPr>
          <w:rFonts w:hint="eastAsia" w:ascii="仿宋_GB2312" w:hAnsi="仿宋_GB2312" w:eastAsia="仿宋_GB2312" w:cs="仿宋_GB2312"/>
          <w:b w:val="0"/>
          <w:bCs w:val="0"/>
          <w:color w:val="auto"/>
          <w:sz w:val="32"/>
          <w:szCs w:val="32"/>
          <w:highlight w:val="none"/>
          <w:u w:val="none"/>
          <w:lang w:eastAsia="zh-CN"/>
        </w:rPr>
        <w:t>计算年平均出口额（</w:t>
      </w:r>
      <w:r>
        <w:rPr>
          <w:rFonts w:hint="eastAsia" w:ascii="仿宋_GB2312" w:hAnsi="仿宋_GB2312" w:eastAsia="仿宋_GB2312" w:cs="仿宋_GB2312"/>
          <w:b w:val="0"/>
          <w:bCs w:val="0"/>
          <w:color w:val="auto"/>
          <w:sz w:val="32"/>
          <w:szCs w:val="32"/>
          <w:highlight w:val="none"/>
          <w:u w:val="none"/>
          <w:lang w:val="en-US" w:eastAsia="zh-CN"/>
        </w:rPr>
        <w:t>美元</w:t>
      </w:r>
      <w:r>
        <w:rPr>
          <w:rFonts w:hint="eastAsia" w:ascii="仿宋_GB2312" w:hAnsi="仿宋_GB2312" w:eastAsia="仿宋_GB2312" w:cs="仿宋_GB2312"/>
          <w:b w:val="0"/>
          <w:bCs w:val="0"/>
          <w:color w:val="auto"/>
          <w:sz w:val="32"/>
          <w:szCs w:val="32"/>
          <w:highlight w:val="none"/>
          <w:u w:val="none"/>
          <w:lang w:eastAsia="zh-CN"/>
        </w:rPr>
        <w:t>）</w:t>
      </w:r>
      <w:r>
        <w:rPr>
          <w:rFonts w:hint="eastAsia" w:ascii="仿宋_GB2312" w:hAnsi="仿宋_GB2312" w:eastAsia="仿宋_GB2312" w:cs="仿宋_GB2312"/>
          <w:b w:val="0"/>
          <w:bCs w:val="0"/>
          <w:color w:val="auto"/>
          <w:sz w:val="32"/>
          <w:szCs w:val="32"/>
          <w:highlight w:val="none"/>
          <w:u w:val="none"/>
          <w:lang w:val="en-US" w:eastAsia="zh-CN"/>
        </w:rPr>
        <w:t>,未满三年按实际年数计算年平均出口额</w:t>
      </w:r>
      <w:r>
        <w:rPr>
          <w:rFonts w:hint="eastAsia" w:ascii="仿宋_GB2312" w:hAnsi="仿宋_GB2312" w:eastAsia="仿宋_GB2312" w:cs="仿宋_GB2312"/>
          <w:b w:val="0"/>
          <w:bCs w:val="0"/>
          <w:color w:val="auto"/>
          <w:sz w:val="32"/>
          <w:szCs w:val="32"/>
          <w:highlight w:val="none"/>
          <w:u w:val="none"/>
          <w:lang w:eastAsia="zh-CN"/>
        </w:rPr>
        <w:t>。</w:t>
      </w:r>
    </w:p>
    <w:p>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color w:val="auto"/>
          <w:sz w:val="32"/>
          <w:szCs w:val="32"/>
          <w:highlight w:val="none"/>
          <w:u w:val="none"/>
          <w:lang w:val="en-US" w:eastAsia="zh-CN"/>
        </w:rPr>
        <w:t>2.前一年度出口增幅</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15分）</w:t>
      </w:r>
    </w:p>
    <w:p>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color w:val="auto"/>
          <w:sz w:val="32"/>
          <w:szCs w:val="32"/>
        </w:rPr>
        <w:t>前一年度</w:t>
      </w:r>
      <w:r>
        <w:rPr>
          <w:rFonts w:hint="eastAsia" w:ascii="仿宋_GB2312" w:hAnsi="仿宋_GB2312" w:eastAsia="仿宋_GB2312" w:cs="仿宋_GB2312"/>
          <w:b w:val="0"/>
          <w:bCs/>
          <w:color w:val="auto"/>
          <w:sz w:val="32"/>
          <w:szCs w:val="32"/>
          <w:lang w:eastAsia="zh-CN"/>
        </w:rPr>
        <w:t>企业出口实现正增长</w:t>
      </w:r>
      <w:r>
        <w:rPr>
          <w:rFonts w:hint="eastAsia" w:ascii="仿宋_GB2312" w:hAnsi="仿宋_GB2312" w:eastAsia="仿宋_GB2312" w:cs="仿宋_GB2312"/>
          <w:b w:val="0"/>
          <w:bCs/>
          <w:color w:val="auto"/>
          <w:sz w:val="32"/>
          <w:szCs w:val="32"/>
          <w:lang w:val="en-US" w:eastAsia="zh-CN"/>
        </w:rPr>
        <w:t>计5分，每增加2%加1分</w:t>
      </w:r>
      <w:r>
        <w:rPr>
          <w:rFonts w:hint="eastAsia" w:ascii="仿宋_GB2312" w:hAnsi="仿宋_GB2312" w:eastAsia="仿宋_GB2312" w:cs="仿宋_GB2312"/>
          <w:color w:val="auto"/>
          <w:sz w:val="32"/>
          <w:szCs w:val="32"/>
        </w:rPr>
        <w:t>。</w:t>
      </w:r>
    </w:p>
    <w:p>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lang w:eastAsia="zh-CN"/>
        </w:rPr>
        <w:t>（二）</w:t>
      </w:r>
      <w:r>
        <w:rPr>
          <w:rFonts w:hint="eastAsia" w:ascii="仿宋_GB2312" w:hAnsi="仿宋_GB2312" w:eastAsia="仿宋_GB2312" w:cs="仿宋_GB2312"/>
          <w:b w:val="0"/>
          <w:bCs w:val="0"/>
          <w:sz w:val="32"/>
          <w:szCs w:val="32"/>
          <w:highlight w:val="none"/>
        </w:rPr>
        <w:t>国际通行认证（1</w:t>
      </w:r>
      <w:r>
        <w:rPr>
          <w:rFonts w:hint="eastAsia" w:ascii="仿宋_GB2312" w:hAnsi="仿宋_GB2312" w:eastAsia="仿宋_GB2312" w:cs="仿宋_GB2312"/>
          <w:b w:val="0"/>
          <w:bCs w:val="0"/>
          <w:sz w:val="32"/>
          <w:szCs w:val="32"/>
          <w:highlight w:val="none"/>
          <w:lang w:val="en-US" w:eastAsia="zh-CN"/>
        </w:rPr>
        <w:t>0</w:t>
      </w:r>
      <w:r>
        <w:rPr>
          <w:rFonts w:hint="eastAsia" w:ascii="仿宋_GB2312" w:hAnsi="仿宋_GB2312" w:eastAsia="仿宋_GB2312" w:cs="仿宋_GB2312"/>
          <w:b w:val="0"/>
          <w:bCs w:val="0"/>
          <w:sz w:val="32"/>
          <w:szCs w:val="32"/>
          <w:highlight w:val="none"/>
        </w:rPr>
        <w:t>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val="0"/>
          <w:bCs w:val="0"/>
          <w:sz w:val="32"/>
          <w:szCs w:val="32"/>
          <w:highlight w:val="none"/>
          <w:u w:val="none"/>
        </w:rPr>
        <w:t>国际通行的质量管理体系、环境管理体系或行业认证的有效证书</w:t>
      </w:r>
      <w:r>
        <w:rPr>
          <w:rFonts w:hint="eastAsia" w:ascii="仿宋_GB2312" w:hAnsi="仿宋_GB2312" w:eastAsia="仿宋_GB2312" w:cs="仿宋_GB2312"/>
          <w:b w:val="0"/>
          <w:bCs w:val="0"/>
          <w:sz w:val="32"/>
          <w:szCs w:val="32"/>
          <w:highlight w:val="none"/>
          <w:u w:val="none"/>
          <w:lang w:eastAsia="zh-CN"/>
        </w:rPr>
        <w:t>的</w:t>
      </w:r>
      <w:r>
        <w:rPr>
          <w:rFonts w:hint="eastAsia" w:ascii="仿宋_GB2312" w:hAnsi="仿宋_GB2312" w:eastAsia="仿宋_GB2312" w:cs="仿宋_GB2312"/>
          <w:b w:val="0"/>
          <w:bCs w:val="0"/>
          <w:sz w:val="32"/>
          <w:szCs w:val="32"/>
          <w:highlight w:val="none"/>
          <w:u w:val="none"/>
        </w:rPr>
        <w:t>持有者应与一般性展位申请企业一致，且覆盖产品应属于所申请展区规定的参展商品目录</w:t>
      </w:r>
      <w:r>
        <w:rPr>
          <w:rFonts w:hint="eastAsia" w:ascii="仿宋_GB2312" w:hAnsi="仿宋_GB2312" w:eastAsia="仿宋_GB2312" w:cs="仿宋_GB2312"/>
          <w:b w:val="0"/>
          <w:bCs w:val="0"/>
          <w:sz w:val="32"/>
          <w:szCs w:val="32"/>
          <w:highlight w:val="none"/>
          <w:u w:val="none"/>
          <w:lang w:eastAsia="zh-CN"/>
        </w:rPr>
        <w:t>，每通过一项认证得</w:t>
      </w:r>
      <w:r>
        <w:rPr>
          <w:rFonts w:hint="eastAsia" w:ascii="仿宋_GB2312" w:hAnsi="仿宋_GB2312" w:eastAsia="仿宋_GB2312" w:cs="仿宋_GB2312"/>
          <w:b w:val="0"/>
          <w:bCs w:val="0"/>
          <w:sz w:val="32"/>
          <w:szCs w:val="32"/>
          <w:highlight w:val="none"/>
          <w:u w:val="none"/>
          <w:lang w:val="en-US" w:eastAsia="zh-CN"/>
        </w:rPr>
        <w:t>2分</w:t>
      </w:r>
      <w:r>
        <w:rPr>
          <w:rFonts w:hint="eastAsia" w:ascii="仿宋_GB2312" w:hAnsi="仿宋_GB2312" w:eastAsia="仿宋_GB2312" w:cs="仿宋_GB2312"/>
          <w:b w:val="0"/>
          <w:bCs w:val="0"/>
          <w:sz w:val="32"/>
          <w:szCs w:val="32"/>
          <w:highlight w:val="none"/>
          <w:u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（三）创新能力（15分）</w:t>
      </w:r>
    </w:p>
    <w:p>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val="0"/>
          <w:bCs w:val="0"/>
          <w:color w:val="auto"/>
          <w:sz w:val="32"/>
          <w:szCs w:val="32"/>
          <w:highlight w:val="none"/>
          <w:u w:val="none"/>
          <w:lang w:val="en-US" w:eastAsia="zh-CN"/>
        </w:rPr>
        <w:t>1.高新技术企业（5分）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获得高新技术企业认定</w:t>
      </w:r>
      <w:r>
        <w:rPr>
          <w:rFonts w:hint="eastAsia" w:ascii="仿宋_GB2312" w:hAnsi="仿宋_GB2312" w:eastAsia="仿宋_GB2312" w:cs="仿宋_GB2312"/>
          <w:color w:val="auto"/>
          <w:sz w:val="32"/>
          <w:szCs w:val="32"/>
          <w:lang w:eastAsia="zh-CN"/>
        </w:rPr>
        <w:t>，得</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val="0"/>
          <w:bCs w:val="0"/>
          <w:color w:val="auto"/>
          <w:sz w:val="32"/>
          <w:szCs w:val="32"/>
          <w:highlight w:val="none"/>
          <w:u w:val="none"/>
          <w:lang w:val="en-US" w:eastAsia="zh-CN"/>
        </w:rPr>
        <w:t>2.研发创新（10分）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b w:val="0"/>
          <w:bCs w:val="0"/>
          <w:highlight w:val="none"/>
        </w:rPr>
      </w:pPr>
      <w:r>
        <w:rPr>
          <w:rFonts w:hint="eastAsia" w:ascii="仿宋_GB2312" w:hAnsi="仿宋_GB2312" w:eastAsia="仿宋_GB2312" w:cs="仿宋_GB2312"/>
          <w:color w:val="auto"/>
          <w:sz w:val="32"/>
          <w:szCs w:val="32"/>
        </w:rPr>
        <w:t>每拥有一项发明专利得3分;每拥有一项实用新型专利得</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分;</w:t>
      </w:r>
      <w:r>
        <w:rPr>
          <w:rFonts w:hint="eastAsia" w:ascii="仿宋_GB2312" w:hAnsi="仿宋_GB2312" w:eastAsia="仿宋_GB2312" w:cs="仿宋_GB2312"/>
          <w:color w:val="auto"/>
          <w:sz w:val="32"/>
          <w:szCs w:val="32"/>
          <w:lang w:val="en-US" w:eastAsia="zh-CN"/>
        </w:rPr>
        <w:t>10项</w:t>
      </w:r>
      <w:r>
        <w:rPr>
          <w:rFonts w:hint="eastAsia" w:ascii="仿宋_GB2312" w:hAnsi="仿宋_GB2312" w:eastAsia="仿宋_GB2312" w:cs="仿宋_GB2312"/>
          <w:color w:val="auto"/>
          <w:sz w:val="32"/>
          <w:szCs w:val="32"/>
        </w:rPr>
        <w:t>外观专利</w:t>
      </w:r>
      <w:r>
        <w:rPr>
          <w:rFonts w:hint="eastAsia" w:ascii="仿宋_GB2312" w:hAnsi="仿宋_GB2312" w:eastAsia="仿宋_GB2312" w:cs="仿宋_GB2312"/>
          <w:color w:val="auto"/>
          <w:sz w:val="32"/>
          <w:szCs w:val="32"/>
          <w:lang w:eastAsia="zh-CN"/>
        </w:rPr>
        <w:t>按</w:t>
      </w:r>
      <w:r>
        <w:rPr>
          <w:rFonts w:hint="eastAsia" w:ascii="仿宋_GB2312" w:hAnsi="仿宋_GB2312" w:eastAsia="仿宋_GB2312" w:cs="仿宋_GB2312"/>
          <w:color w:val="auto"/>
          <w:sz w:val="32"/>
          <w:szCs w:val="32"/>
          <w:lang w:val="en-US" w:eastAsia="zh-CN"/>
        </w:rPr>
        <w:t>1项发明专利折算</w:t>
      </w:r>
      <w:r>
        <w:rPr>
          <w:rFonts w:hint="eastAsia" w:ascii="仿宋_GB2312" w:hAnsi="仿宋_GB2312" w:eastAsia="仿宋_GB2312" w:cs="仿宋_GB2312"/>
          <w:color w:val="auto"/>
          <w:sz w:val="32"/>
          <w:szCs w:val="32"/>
        </w:rPr>
        <w:t>，累计不超过</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分。</w:t>
      </w:r>
    </w:p>
    <w:p>
      <w:pPr>
        <w:pStyle w:val="7"/>
        <w:keepNext w:val="0"/>
        <w:keepLines w:val="0"/>
        <w:pageBreakBefore w:val="0"/>
        <w:kinsoku/>
        <w:wordWrap/>
        <w:overflowPunct/>
        <w:topLinePunct w:val="0"/>
        <w:bidi w:val="0"/>
        <w:snapToGrid/>
        <w:spacing w:line="560" w:lineRule="exact"/>
        <w:ind w:firstLine="563" w:firstLineChars="176"/>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val="en-US" w:eastAsia="zh-CN"/>
        </w:rPr>
        <w:t>（四）</w:t>
      </w:r>
      <w:r>
        <w:rPr>
          <w:rFonts w:hint="eastAsia" w:ascii="仿宋_GB2312" w:hAnsi="仿宋_GB2312" w:eastAsia="仿宋_GB2312" w:cs="仿宋_GB2312"/>
          <w:b w:val="0"/>
          <w:bCs w:val="0"/>
          <w:sz w:val="32"/>
          <w:szCs w:val="32"/>
          <w:highlight w:val="none"/>
        </w:rPr>
        <w:t>商标</w:t>
      </w:r>
      <w:r>
        <w:rPr>
          <w:rFonts w:hint="eastAsia" w:ascii="仿宋_GB2312" w:hAnsi="仿宋_GB2312" w:eastAsia="仿宋_GB2312" w:cs="仿宋_GB2312"/>
          <w:b w:val="0"/>
          <w:bCs w:val="0"/>
          <w:sz w:val="32"/>
          <w:szCs w:val="32"/>
          <w:highlight w:val="none"/>
          <w:lang w:eastAsia="zh-CN"/>
        </w:rPr>
        <w:t>和</w:t>
      </w:r>
      <w:r>
        <w:rPr>
          <w:rFonts w:hint="eastAsia" w:ascii="仿宋_GB2312" w:hAnsi="仿宋_GB2312" w:eastAsia="仿宋_GB2312" w:cs="仿宋_GB2312"/>
          <w:b w:val="0"/>
          <w:bCs w:val="0"/>
          <w:sz w:val="32"/>
          <w:szCs w:val="32"/>
          <w:highlight w:val="none"/>
        </w:rPr>
        <w:t>品牌荣誉（1</w:t>
      </w:r>
      <w:r>
        <w:rPr>
          <w:rFonts w:hint="eastAsia" w:ascii="仿宋_GB2312" w:hAnsi="仿宋_GB2312" w:eastAsia="仿宋_GB2312" w:cs="仿宋_GB2312"/>
          <w:b w:val="0"/>
          <w:bCs w:val="0"/>
          <w:sz w:val="32"/>
          <w:szCs w:val="32"/>
          <w:highlight w:val="none"/>
          <w:lang w:val="en-US" w:eastAsia="zh-CN"/>
        </w:rPr>
        <w:t>5</w:t>
      </w:r>
      <w:r>
        <w:rPr>
          <w:rFonts w:hint="eastAsia" w:ascii="仿宋_GB2312" w:hAnsi="仿宋_GB2312" w:eastAsia="仿宋_GB2312" w:cs="仿宋_GB2312"/>
          <w:b w:val="0"/>
          <w:bCs w:val="0"/>
          <w:sz w:val="32"/>
          <w:szCs w:val="32"/>
          <w:highlight w:val="none"/>
        </w:rPr>
        <w:t>分）</w:t>
      </w:r>
    </w:p>
    <w:p>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lang w:val="en-US" w:eastAsia="zh-CN"/>
        </w:rPr>
        <w:t>1.</w:t>
      </w:r>
      <w:r>
        <w:rPr>
          <w:rFonts w:hint="eastAsia" w:ascii="仿宋_GB2312" w:hAnsi="仿宋_GB2312" w:eastAsia="仿宋_GB2312" w:cs="仿宋_GB2312"/>
          <w:b w:val="0"/>
          <w:bCs w:val="0"/>
          <w:sz w:val="32"/>
          <w:szCs w:val="32"/>
          <w:highlight w:val="none"/>
        </w:rPr>
        <w:t>境内外注册</w:t>
      </w:r>
      <w:r>
        <w:rPr>
          <w:rFonts w:hint="eastAsia" w:ascii="仿宋_GB2312" w:hAnsi="仿宋_GB2312" w:eastAsia="仿宋_GB2312" w:cs="仿宋_GB2312"/>
          <w:b w:val="0"/>
          <w:bCs w:val="0"/>
          <w:sz w:val="32"/>
          <w:szCs w:val="32"/>
          <w:highlight w:val="none"/>
          <w:lang w:eastAsia="zh-CN"/>
        </w:rPr>
        <w:t>商标</w:t>
      </w:r>
      <w:r>
        <w:rPr>
          <w:rFonts w:hint="eastAsia" w:ascii="仿宋_GB2312" w:hAnsi="仿宋_GB2312" w:eastAsia="仿宋_GB2312" w:cs="仿宋_GB2312"/>
          <w:b w:val="0"/>
          <w:bCs w:val="0"/>
          <w:sz w:val="32"/>
          <w:szCs w:val="32"/>
          <w:highlight w:val="none"/>
        </w:rPr>
        <w:t>（</w:t>
      </w:r>
      <w:r>
        <w:rPr>
          <w:rFonts w:hint="eastAsia" w:ascii="仿宋_GB2312" w:hAnsi="仿宋_GB2312" w:eastAsia="仿宋_GB2312" w:cs="仿宋_GB2312"/>
          <w:b w:val="0"/>
          <w:bCs w:val="0"/>
          <w:sz w:val="32"/>
          <w:szCs w:val="32"/>
          <w:highlight w:val="none"/>
          <w:lang w:val="en-US" w:eastAsia="zh-CN"/>
        </w:rPr>
        <w:t>5</w:t>
      </w:r>
      <w:r>
        <w:rPr>
          <w:rFonts w:hint="eastAsia" w:ascii="仿宋_GB2312" w:hAnsi="仿宋_GB2312" w:eastAsia="仿宋_GB2312" w:cs="仿宋_GB2312"/>
          <w:b w:val="0"/>
          <w:bCs w:val="0"/>
          <w:sz w:val="32"/>
          <w:szCs w:val="32"/>
          <w:highlight w:val="none"/>
        </w:rPr>
        <w:t>分）</w:t>
      </w:r>
    </w:p>
    <w:p>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有境内注册商标的加1分</w:t>
      </w:r>
      <w:r>
        <w:rPr>
          <w:rFonts w:hint="eastAsia" w:ascii="仿宋_GB2312" w:hAnsi="仿宋_GB2312" w:eastAsia="仿宋_GB2312" w:cs="仿宋_GB2312"/>
          <w:color w:val="auto"/>
          <w:sz w:val="32"/>
          <w:szCs w:val="32"/>
          <w:lang w:eastAsia="zh-CN"/>
        </w:rPr>
        <w:t>，上限为</w:t>
      </w:r>
      <w:r>
        <w:rPr>
          <w:rFonts w:hint="eastAsia" w:ascii="仿宋_GB2312" w:hAnsi="仿宋_GB2312" w:eastAsia="仿宋_GB2312" w:cs="仿宋_GB2312"/>
          <w:color w:val="auto"/>
          <w:sz w:val="32"/>
          <w:szCs w:val="32"/>
          <w:lang w:val="en-US" w:eastAsia="zh-CN"/>
        </w:rPr>
        <w:t>1分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境外商标在一个国家(地区)注册(包括注册多个)得1分，每增加一个国家(地区)加1分。</w:t>
      </w:r>
    </w:p>
    <w:p>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2.品牌荣誉（10分）</w:t>
      </w:r>
    </w:p>
    <w:p>
      <w:pPr>
        <w:keepNext w:val="0"/>
        <w:keepLines w:val="0"/>
        <w:pageBreakBefore w:val="0"/>
        <w:kinsoku/>
        <w:wordWrap/>
        <w:overflowPunct/>
        <w:topLinePunct w:val="0"/>
        <w:bidi w:val="0"/>
        <w:snapToGrid/>
        <w:spacing w:line="560" w:lineRule="exact"/>
        <w:ind w:firstLine="640" w:firstLineChars="200"/>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eastAsia="zh-CN"/>
        </w:rPr>
        <w:t>企业</w:t>
      </w:r>
      <w:r>
        <w:rPr>
          <w:rFonts w:hint="eastAsia" w:ascii="仿宋_GB2312" w:hAnsi="仿宋_GB2312" w:eastAsia="仿宋_GB2312" w:cs="仿宋_GB2312"/>
          <w:b w:val="0"/>
          <w:bCs w:val="0"/>
          <w:sz w:val="32"/>
          <w:szCs w:val="32"/>
          <w:highlight w:val="none"/>
        </w:rPr>
        <w:t>获得国家级品牌认证或“安徽出口品牌”</w:t>
      </w:r>
      <w:r>
        <w:rPr>
          <w:rFonts w:hint="eastAsia" w:ascii="仿宋_GB2312" w:hAnsi="仿宋_GB2312" w:eastAsia="仿宋_GB2312" w:cs="仿宋_GB2312"/>
          <w:b w:val="0"/>
          <w:bCs w:val="0"/>
          <w:sz w:val="32"/>
          <w:szCs w:val="32"/>
          <w:highlight w:val="none"/>
          <w:lang w:eastAsia="zh-CN"/>
        </w:rPr>
        <w:t>，计</w:t>
      </w:r>
      <w:r>
        <w:rPr>
          <w:rFonts w:hint="eastAsia" w:ascii="仿宋_GB2312" w:hAnsi="仿宋_GB2312" w:eastAsia="仿宋_GB2312" w:cs="仿宋_GB2312"/>
          <w:b w:val="0"/>
          <w:bCs w:val="0"/>
          <w:sz w:val="32"/>
          <w:szCs w:val="32"/>
          <w:highlight w:val="none"/>
          <w:lang w:val="en-US" w:eastAsia="zh-CN"/>
        </w:rPr>
        <w:t>4分；</w:t>
      </w:r>
      <w:r>
        <w:rPr>
          <w:rFonts w:hint="eastAsia" w:ascii="仿宋_GB2312" w:hAnsi="仿宋_GB2312" w:eastAsia="仿宋_GB2312" w:cs="仿宋_GB2312"/>
          <w:b w:val="0"/>
          <w:bCs w:val="0"/>
          <w:sz w:val="32"/>
          <w:szCs w:val="32"/>
          <w:highlight w:val="none"/>
        </w:rPr>
        <w:t>每制定或修改一个产品（技术）的国家标准或行业标准计</w:t>
      </w:r>
      <w:r>
        <w:rPr>
          <w:rFonts w:hint="eastAsia" w:ascii="仿宋_GB2312" w:hAnsi="仿宋_GB2312" w:eastAsia="仿宋_GB2312" w:cs="仿宋_GB2312"/>
          <w:b w:val="0"/>
          <w:bCs w:val="0"/>
          <w:sz w:val="32"/>
          <w:szCs w:val="32"/>
          <w:highlight w:val="none"/>
          <w:lang w:val="en-US" w:eastAsia="zh-CN"/>
        </w:rPr>
        <w:t>3</w:t>
      </w:r>
      <w:r>
        <w:rPr>
          <w:rFonts w:hint="eastAsia" w:ascii="仿宋_GB2312" w:hAnsi="仿宋_GB2312" w:eastAsia="仿宋_GB2312" w:cs="仿宋_GB2312"/>
          <w:b w:val="0"/>
          <w:bCs w:val="0"/>
          <w:sz w:val="32"/>
          <w:szCs w:val="32"/>
          <w:highlight w:val="none"/>
        </w:rPr>
        <w:t>分；获得海关AEO（高级）认证企业证书，计</w:t>
      </w:r>
      <w:r>
        <w:rPr>
          <w:rFonts w:hint="eastAsia" w:ascii="仿宋_GB2312" w:hAnsi="仿宋_GB2312" w:eastAsia="仿宋_GB2312" w:cs="仿宋_GB2312"/>
          <w:b w:val="0"/>
          <w:bCs w:val="0"/>
          <w:sz w:val="32"/>
          <w:szCs w:val="32"/>
          <w:highlight w:val="none"/>
          <w:lang w:val="en-US" w:eastAsia="zh-CN"/>
        </w:rPr>
        <w:t>2</w:t>
      </w:r>
      <w:r>
        <w:rPr>
          <w:rFonts w:hint="eastAsia" w:ascii="仿宋_GB2312" w:hAnsi="仿宋_GB2312" w:eastAsia="仿宋_GB2312" w:cs="仿宋_GB2312"/>
          <w:b w:val="0"/>
          <w:bCs w:val="0"/>
          <w:sz w:val="32"/>
          <w:szCs w:val="32"/>
          <w:highlight w:val="none"/>
        </w:rPr>
        <w:t>分</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color w:val="auto"/>
          <w:sz w:val="32"/>
          <w:szCs w:val="32"/>
          <w:lang w:val="en-US" w:eastAsia="zh-CN"/>
        </w:rPr>
        <w:t>获得专精特新“小巨人”等省级及以上荣誉称号，计1分</w:t>
      </w:r>
      <w:r>
        <w:rPr>
          <w:rFonts w:hint="eastAsia" w:ascii="仿宋_GB2312" w:hAnsi="仿宋_GB2312" w:eastAsia="仿宋_GB2312" w:cs="仿宋_GB2312"/>
          <w:b w:val="0"/>
          <w:bCs w:val="0"/>
          <w:sz w:val="32"/>
          <w:szCs w:val="32"/>
          <w:highlight w:val="none"/>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sz w:val="32"/>
          <w:szCs w:val="32"/>
          <w:highlight w:val="none"/>
        </w:rPr>
      </w:pPr>
      <w:r>
        <w:rPr>
          <w:rFonts w:hint="eastAsia" w:ascii="仿宋_GB2312" w:hAnsi="仿宋_GB2312" w:eastAsia="仿宋_GB2312" w:cs="仿宋_GB2312"/>
          <w:b w:val="0"/>
          <w:bCs w:val="0"/>
          <w:sz w:val="32"/>
          <w:szCs w:val="32"/>
          <w:highlight w:val="none"/>
        </w:rPr>
        <w:t>（</w:t>
      </w:r>
      <w:r>
        <w:rPr>
          <w:rFonts w:hint="eastAsia" w:ascii="仿宋_GB2312" w:hAnsi="仿宋_GB2312" w:eastAsia="仿宋_GB2312" w:cs="仿宋_GB2312"/>
          <w:b w:val="0"/>
          <w:bCs w:val="0"/>
          <w:sz w:val="32"/>
          <w:szCs w:val="32"/>
          <w:highlight w:val="none"/>
          <w:lang w:eastAsia="zh-CN"/>
        </w:rPr>
        <w:t>五</w:t>
      </w:r>
      <w:r>
        <w:rPr>
          <w:rFonts w:hint="eastAsia" w:ascii="仿宋_GB2312" w:hAnsi="仿宋_GB2312" w:eastAsia="仿宋_GB2312" w:cs="仿宋_GB2312"/>
          <w:b w:val="0"/>
          <w:bCs w:val="0"/>
          <w:sz w:val="32"/>
          <w:szCs w:val="32"/>
          <w:highlight w:val="none"/>
        </w:rPr>
        <w:t>）</w:t>
      </w:r>
      <w:r>
        <w:rPr>
          <w:rFonts w:hint="default" w:ascii="仿宋_GB2312" w:hAnsi="仿宋_GB2312" w:eastAsia="仿宋_GB2312" w:cs="仿宋_GB2312"/>
          <w:b w:val="0"/>
          <w:bCs w:val="0"/>
          <w:color w:val="auto"/>
          <w:sz w:val="32"/>
          <w:szCs w:val="32"/>
          <w:highlight w:val="none"/>
          <w:u w:val="none"/>
        </w:rPr>
        <w:t>行业自律（5分）</w:t>
      </w:r>
    </w:p>
    <w:p>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积极应对国外针对我出口产品发起的“两反（反倾销、反补贴）两保（保障措施、特别保障措施）”调查，</w:t>
      </w:r>
      <w:r>
        <w:rPr>
          <w:rFonts w:hint="eastAsia" w:ascii="仿宋_GB2312" w:hAnsi="仿宋_GB2312" w:eastAsia="仿宋_GB2312" w:cs="仿宋_GB2312"/>
          <w:b w:val="0"/>
          <w:bCs w:val="0"/>
          <w:sz w:val="32"/>
          <w:szCs w:val="32"/>
          <w:highlight w:val="none"/>
          <w:lang w:val="en-US" w:eastAsia="zh-CN"/>
        </w:rPr>
        <w:t>积极应对国外的出口管制及制裁，维护行业出口质量安全。计5分。</w:t>
      </w:r>
    </w:p>
    <w:p>
      <w:pPr>
        <w:keepNext w:val="0"/>
        <w:keepLines w:val="0"/>
        <w:pageBreakBefore w:val="0"/>
        <w:numPr>
          <w:ilvl w:val="0"/>
          <w:numId w:val="1"/>
        </w:numPr>
        <w:kinsoku/>
        <w:wordWrap/>
        <w:overflowPunct/>
        <w:topLinePunct w:val="0"/>
        <w:bidi w:val="0"/>
        <w:snapToGrid/>
        <w:spacing w:line="560" w:lineRule="exact"/>
        <w:ind w:left="486" w:leftChars="152" w:firstLine="320" w:firstLineChars="1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 xml:space="preserve">参加重点展会情况和配合各级商务部门工作（5分） </w:t>
      </w:r>
    </w:p>
    <w:p>
      <w:pPr>
        <w:keepNext w:val="0"/>
        <w:keepLines w:val="0"/>
        <w:pageBreakBefore w:val="0"/>
        <w:kinsoku/>
        <w:wordWrap/>
        <w:overflowPunct/>
        <w:topLinePunct w:val="0"/>
        <w:bidi w:val="0"/>
        <w:snapToGrid/>
        <w:spacing w:line="560" w:lineRule="exact"/>
        <w:ind w:firstLine="640" w:firstLineChars="200"/>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1.参加重点展会情况（3分）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color w:val="auto"/>
          <w:sz w:val="32"/>
          <w:szCs w:val="32"/>
          <w:highlight w:val="none"/>
          <w:u w:val="none"/>
        </w:rPr>
        <w:t>企业参加市商务局组织开展的经贸活动，包括但不限于</w:t>
      </w:r>
      <w:r>
        <w:rPr>
          <w:rFonts w:hint="eastAsia" w:ascii="仿宋_GB2312" w:hAnsi="仿宋_GB2312" w:eastAsia="仿宋_GB2312" w:cs="仿宋_GB2312"/>
          <w:b w:val="0"/>
          <w:bCs w:val="0"/>
          <w:color w:val="auto"/>
          <w:sz w:val="32"/>
          <w:szCs w:val="32"/>
          <w:highlight w:val="none"/>
          <w:u w:val="none"/>
          <w:lang w:eastAsia="zh-CN"/>
        </w:rPr>
        <w:t>中国国际进口博览会、</w:t>
      </w:r>
      <w:r>
        <w:rPr>
          <w:rFonts w:hint="eastAsia" w:ascii="仿宋_GB2312" w:hAnsi="仿宋_GB2312" w:eastAsia="仿宋_GB2312" w:cs="仿宋_GB2312"/>
          <w:b w:val="0"/>
          <w:bCs w:val="0"/>
          <w:color w:val="auto"/>
          <w:sz w:val="32"/>
          <w:szCs w:val="32"/>
          <w:highlight w:val="none"/>
          <w:u w:val="none"/>
        </w:rPr>
        <w:t>中国华东进出口商品交易会、中国国际消费品博览会</w:t>
      </w:r>
      <w:r>
        <w:rPr>
          <w:rFonts w:hint="eastAsia" w:ascii="仿宋_GB2312" w:hAnsi="仿宋_GB2312" w:eastAsia="仿宋_GB2312" w:cs="仿宋_GB2312"/>
          <w:b w:val="0"/>
          <w:bCs w:val="0"/>
          <w:color w:val="auto"/>
          <w:sz w:val="32"/>
          <w:szCs w:val="32"/>
          <w:highlight w:val="none"/>
          <w:u w:val="none"/>
          <w:lang w:eastAsia="zh-CN"/>
        </w:rPr>
        <w:t>等境内展会，以及</w:t>
      </w:r>
      <w:r>
        <w:rPr>
          <w:rFonts w:hint="eastAsia" w:ascii="仿宋_GB2312" w:hAnsi="仿宋_GB2312" w:eastAsia="仿宋_GB2312" w:cs="仿宋_GB2312"/>
          <w:b w:val="0"/>
          <w:bCs w:val="0"/>
          <w:color w:val="auto"/>
          <w:sz w:val="32"/>
          <w:szCs w:val="32"/>
          <w:highlight w:val="none"/>
          <w:u w:val="none"/>
          <w:lang w:val="en-US" w:eastAsia="zh-CN"/>
        </w:rPr>
        <w:t>商务部、省商务厅、市商务局</w:t>
      </w:r>
      <w:r>
        <w:rPr>
          <w:rFonts w:hint="eastAsia" w:ascii="仿宋_GB2312" w:hAnsi="仿宋_GB2312" w:eastAsia="仿宋_GB2312" w:cs="仿宋_GB2312"/>
          <w:b w:val="0"/>
          <w:bCs w:val="0"/>
          <w:color w:val="auto"/>
          <w:sz w:val="32"/>
          <w:szCs w:val="32"/>
          <w:highlight w:val="none"/>
          <w:u w:val="none"/>
        </w:rPr>
        <w:t>主办或支持参加的境外</w:t>
      </w:r>
      <w:r>
        <w:rPr>
          <w:rFonts w:hint="eastAsia" w:ascii="仿宋_GB2312" w:hAnsi="仿宋_GB2312" w:eastAsia="仿宋_GB2312" w:cs="仿宋_GB2312"/>
          <w:b w:val="0"/>
          <w:bCs w:val="0"/>
          <w:color w:val="auto"/>
          <w:sz w:val="32"/>
          <w:szCs w:val="32"/>
          <w:highlight w:val="none"/>
          <w:u w:val="none"/>
          <w:lang w:eastAsia="zh-CN"/>
        </w:rPr>
        <w:t>展会，每</w:t>
      </w:r>
      <w:r>
        <w:rPr>
          <w:rFonts w:hint="eastAsia" w:ascii="仿宋_GB2312" w:hAnsi="仿宋_GB2312" w:eastAsia="仿宋_GB2312" w:cs="仿宋_GB2312"/>
          <w:b w:val="0"/>
          <w:bCs w:val="0"/>
          <w:color w:val="auto"/>
          <w:sz w:val="32"/>
          <w:szCs w:val="32"/>
          <w:highlight w:val="none"/>
          <w:u w:val="none"/>
        </w:rPr>
        <w:t>参加一个展会计</w:t>
      </w:r>
      <w:r>
        <w:rPr>
          <w:rFonts w:hint="eastAsia" w:ascii="仿宋_GB2312" w:hAnsi="仿宋_GB2312" w:eastAsia="仿宋_GB2312" w:cs="仿宋_GB2312"/>
          <w:b w:val="0"/>
          <w:bCs w:val="0"/>
          <w:color w:val="auto"/>
          <w:sz w:val="32"/>
          <w:szCs w:val="32"/>
          <w:highlight w:val="none"/>
          <w:u w:val="none"/>
          <w:lang w:val="en-US" w:eastAsia="zh-CN"/>
        </w:rPr>
        <w:t>1</w:t>
      </w:r>
      <w:r>
        <w:rPr>
          <w:rFonts w:hint="eastAsia" w:ascii="仿宋_GB2312" w:hAnsi="仿宋_GB2312" w:eastAsia="仿宋_GB2312" w:cs="仿宋_GB2312"/>
          <w:b w:val="0"/>
          <w:bCs w:val="0"/>
          <w:color w:val="auto"/>
          <w:sz w:val="32"/>
          <w:szCs w:val="32"/>
          <w:highlight w:val="none"/>
          <w:u w:val="none"/>
        </w:rPr>
        <w:t>分，最高计</w:t>
      </w:r>
      <w:r>
        <w:rPr>
          <w:rFonts w:hint="eastAsia" w:ascii="仿宋_GB2312" w:hAnsi="仿宋_GB2312" w:eastAsia="仿宋_GB2312" w:cs="仿宋_GB2312"/>
          <w:b w:val="0"/>
          <w:bCs w:val="0"/>
          <w:color w:val="auto"/>
          <w:sz w:val="32"/>
          <w:szCs w:val="32"/>
          <w:highlight w:val="none"/>
          <w:u w:val="none"/>
          <w:lang w:val="en-US" w:eastAsia="zh-CN"/>
        </w:rPr>
        <w:t>3</w:t>
      </w:r>
      <w:r>
        <w:rPr>
          <w:rFonts w:hint="eastAsia" w:ascii="仿宋_GB2312" w:hAnsi="仿宋_GB2312" w:eastAsia="仿宋_GB2312" w:cs="仿宋_GB2312"/>
          <w:b w:val="0"/>
          <w:bCs w:val="0"/>
          <w:color w:val="auto"/>
          <w:sz w:val="32"/>
          <w:szCs w:val="32"/>
          <w:highlight w:val="none"/>
          <w:u w:val="none"/>
        </w:rPr>
        <w:t>分</w:t>
      </w:r>
      <w:r>
        <w:rPr>
          <w:rFonts w:hint="eastAsia" w:ascii="仿宋_GB2312" w:hAnsi="仿宋_GB2312" w:eastAsia="仿宋_GB2312" w:cs="仿宋_GB2312"/>
          <w:b w:val="0"/>
          <w:bCs w:val="0"/>
          <w:color w:val="auto"/>
          <w:sz w:val="32"/>
          <w:szCs w:val="32"/>
          <w:highlight w:val="none"/>
          <w:u w:val="none"/>
          <w:lang w:eastAsia="zh-CN"/>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val="0"/>
          <w:bCs w:val="0"/>
          <w:color w:val="auto"/>
          <w:sz w:val="32"/>
          <w:szCs w:val="32"/>
          <w:highlight w:val="none"/>
          <w:u w:val="none"/>
          <w:lang w:val="en-US" w:eastAsia="zh-CN"/>
        </w:rPr>
        <w:t>2.</w:t>
      </w:r>
      <w:r>
        <w:rPr>
          <w:rFonts w:hint="default" w:ascii="仿宋_GB2312" w:hAnsi="仿宋_GB2312" w:eastAsia="仿宋_GB2312" w:cs="仿宋_GB2312"/>
          <w:b w:val="0"/>
          <w:bCs w:val="0"/>
          <w:color w:val="auto"/>
          <w:sz w:val="32"/>
          <w:szCs w:val="32"/>
          <w:highlight w:val="none"/>
          <w:u w:val="none"/>
          <w:lang w:val="en-US" w:eastAsia="zh-CN"/>
        </w:rPr>
        <w:t>支持配合</w:t>
      </w:r>
      <w:r>
        <w:rPr>
          <w:rFonts w:hint="eastAsia" w:ascii="仿宋_GB2312" w:hAnsi="仿宋_GB2312" w:eastAsia="仿宋_GB2312" w:cs="仿宋_GB2312"/>
          <w:b w:val="0"/>
          <w:bCs w:val="0"/>
          <w:color w:val="auto"/>
          <w:sz w:val="32"/>
          <w:szCs w:val="32"/>
          <w:highlight w:val="none"/>
          <w:u w:val="none"/>
          <w:lang w:val="en-US" w:eastAsia="zh-CN"/>
        </w:rPr>
        <w:t>商务工作（2分）</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（1）企业通过中国（安徽）国际贸易“单一窗口”（简称安徽“单一窗口”，网址：www.singlewindow.gd.cn）进行货物申报、原产地证书申请的计1分。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2</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支持配合国家、省、市的外贸工作</w:t>
      </w:r>
      <w:r>
        <w:rPr>
          <w:rFonts w:hint="eastAsia" w:ascii="仿宋_GB2312" w:hAnsi="仿宋_GB2312" w:eastAsia="仿宋_GB2312" w:cs="仿宋_GB2312"/>
          <w:b w:val="0"/>
          <w:bCs w:val="0"/>
          <w:sz w:val="32"/>
          <w:szCs w:val="32"/>
          <w:highlight w:val="none"/>
          <w:lang w:eastAsia="zh-CN"/>
        </w:rPr>
        <w:t>开展，</w:t>
      </w:r>
      <w:r>
        <w:rPr>
          <w:rFonts w:hint="eastAsia" w:ascii="仿宋_GB2312" w:hAnsi="仿宋_GB2312" w:eastAsia="仿宋_GB2312" w:cs="仿宋_GB2312"/>
          <w:b w:val="0"/>
          <w:bCs w:val="0"/>
          <w:sz w:val="32"/>
          <w:szCs w:val="32"/>
          <w:highlight w:val="none"/>
          <w:lang w:val="en-US" w:eastAsia="zh-CN"/>
        </w:rPr>
        <w:t>积极参加外贸业务培训、问卷调查等计1分。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黑体" w:hAnsi="黑体" w:eastAsia="黑体" w:cs="黑体"/>
          <w:sz w:val="32"/>
          <w:szCs w:val="32"/>
          <w:highlight w:val="none"/>
          <w:lang w:val="en-US" w:eastAsia="zh-CN"/>
        </w:rPr>
        <w:t>第七条</w:t>
      </w:r>
      <w:r>
        <w:rPr>
          <w:rFonts w:hint="eastAsia" w:ascii="仿宋_GB2312" w:hAnsi="仿宋_GB2312" w:eastAsia="仿宋_GB2312" w:cs="仿宋_GB2312"/>
          <w:sz w:val="32"/>
          <w:szCs w:val="32"/>
          <w:highlight w:val="none"/>
          <w:lang w:val="en-US" w:eastAsia="zh-CN"/>
        </w:rPr>
        <w:t xml:space="preserve">  </w:t>
      </w:r>
      <w:r>
        <w:rPr>
          <w:rFonts w:hint="default" w:ascii="仿宋_GB2312" w:hAnsi="仿宋_GB2312" w:eastAsia="仿宋_GB2312" w:cs="仿宋_GB2312"/>
          <w:sz w:val="32"/>
          <w:szCs w:val="32"/>
          <w:highlight w:val="none"/>
          <w:lang w:val="en-US" w:eastAsia="zh-CN"/>
        </w:rPr>
        <w:t>允许使用</w:t>
      </w:r>
      <w:r>
        <w:rPr>
          <w:rFonts w:hint="eastAsia" w:ascii="仿宋_GB2312" w:hAnsi="仿宋_GB2312" w:eastAsia="仿宋_GB2312" w:cs="仿宋_GB2312"/>
          <w:sz w:val="32"/>
          <w:szCs w:val="32"/>
          <w:highlight w:val="none"/>
          <w:lang w:val="en-US" w:eastAsia="zh-CN"/>
        </w:rPr>
        <w:t>本市</w:t>
      </w:r>
      <w:r>
        <w:rPr>
          <w:rFonts w:hint="default" w:ascii="仿宋_GB2312" w:hAnsi="仿宋_GB2312" w:eastAsia="仿宋_GB2312" w:cs="仿宋_GB2312"/>
          <w:sz w:val="32"/>
          <w:szCs w:val="32"/>
          <w:highlight w:val="none"/>
          <w:lang w:val="en-US" w:eastAsia="zh-CN"/>
        </w:rPr>
        <w:t>母（子）公司出口额、境内外商标、国际通行认证、研发创新参评。使用母(子)公司资质参评的，须同时提供以下材料：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w:t>
      </w:r>
      <w:r>
        <w:rPr>
          <w:rFonts w:hint="default" w:ascii="仿宋_GB2312" w:hAnsi="仿宋_GB2312" w:eastAsia="仿宋_GB2312" w:cs="仿宋_GB2312"/>
          <w:sz w:val="32"/>
          <w:szCs w:val="32"/>
          <w:lang w:val="en-US" w:eastAsia="zh-CN"/>
        </w:rPr>
        <w:t>母(子)公司关系证明文件。属全资关系的，须提供母公司为子公司唯一股东的证明材料；属绝对控股关系的，须提供母公司出资额占子公司资本总额50%以上或者其持有的股份占子公司股本总额50%以上的证明文件；属相对控股关系的，须提供母公司为子公司第一大股东的证明文件。证明文件(如工商登记证明等)须加盖所在地县级</w:t>
      </w:r>
      <w:r>
        <w:rPr>
          <w:rFonts w:hint="eastAsia" w:ascii="仿宋_GB2312" w:hAnsi="仿宋_GB2312" w:eastAsia="仿宋_GB2312" w:cs="仿宋_GB2312"/>
          <w:sz w:val="32"/>
          <w:szCs w:val="32"/>
          <w:lang w:val="en-US" w:eastAsia="zh-CN"/>
        </w:rPr>
        <w:t>及</w:t>
      </w:r>
      <w:r>
        <w:rPr>
          <w:rFonts w:hint="default" w:ascii="仿宋_GB2312" w:hAnsi="仿宋_GB2312" w:eastAsia="仿宋_GB2312" w:cs="仿宋_GB2312"/>
          <w:sz w:val="32"/>
          <w:szCs w:val="32"/>
          <w:lang w:val="en-US" w:eastAsia="zh-CN"/>
        </w:rPr>
        <w:t>以上市场监管部门公章，属各地各级国资委管理的企业，可以国资委文件替代市场监管部门文件。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w:t>
      </w:r>
      <w:r>
        <w:rPr>
          <w:rFonts w:hint="default" w:ascii="仿宋_GB2312" w:hAnsi="仿宋_GB2312" w:eastAsia="仿宋_GB2312" w:cs="仿宋_GB2312"/>
          <w:sz w:val="32"/>
          <w:szCs w:val="32"/>
          <w:lang w:val="en-US" w:eastAsia="zh-CN"/>
        </w:rPr>
        <w:t>具有法律效力的、经授权方法人代表签字并加盖公章的授权书。授权书须写明授权资质对应展区、授权公司的海关编码、授权产品海关税号、所授权的境内外商标、研发创新和自主知识产权范围。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（三）同一法人代表的外贸企业和生产企业，以其中一个企业名义申请展位，其他不申请展位的企业可将出口额授权累加到申请企业名下。授权出口额覆盖产品应满足申请的对应展区。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第四章</w:t>
      </w:r>
      <w:r>
        <w:rPr>
          <w:rFonts w:hint="eastAsia" w:ascii="黑体" w:hAnsi="黑体" w:eastAsia="黑体" w:cs="黑体"/>
          <w:sz w:val="32"/>
          <w:szCs w:val="32"/>
          <w:lang w:val="en-US" w:eastAsia="zh-CN"/>
        </w:rPr>
        <w:t xml:space="preserve"> 展位分配程序</w:t>
      </w:r>
    </w:p>
    <w:p>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 xml:space="preserve">第八条  </w:t>
      </w:r>
      <w:r>
        <w:rPr>
          <w:rFonts w:hint="eastAsia" w:ascii="仿宋_GB2312" w:hAnsi="仿宋_GB2312" w:eastAsia="仿宋_GB2312" w:cs="仿宋_GB2312"/>
          <w:sz w:val="32"/>
          <w:szCs w:val="32"/>
          <w:lang w:val="en-US" w:eastAsia="zh-CN"/>
        </w:rPr>
        <w:t>企业申请。企业在一般性展位申请时间内通过广交会“参展易捷通”系统（https://exhibitor.cantonfair.org.cn/）提交参展申请。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黑体" w:hAnsi="黑体" w:eastAsia="黑体" w:cs="黑体"/>
          <w:sz w:val="32"/>
          <w:szCs w:val="32"/>
          <w:lang w:val="en-US" w:eastAsia="zh-CN"/>
        </w:rPr>
        <w:t>第九条</w:t>
      </w:r>
      <w:r>
        <w:rPr>
          <w:rFonts w:hint="eastAsia" w:ascii="仿宋_GB2312" w:hAnsi="仿宋_GB2312" w:eastAsia="仿宋_GB2312" w:cs="仿宋_GB2312"/>
          <w:kern w:val="2"/>
          <w:sz w:val="32"/>
          <w:szCs w:val="32"/>
          <w:lang w:val="en-US" w:eastAsia="zh-CN"/>
        </w:rPr>
        <w:t xml:space="preserve">  </w:t>
      </w:r>
      <w:r>
        <w:rPr>
          <w:rFonts w:hint="eastAsia" w:ascii="仿宋_GB2312" w:hAnsi="仿宋_GB2312" w:eastAsia="仿宋_GB2312" w:cs="仿宋_GB2312"/>
          <w:sz w:val="32"/>
          <w:szCs w:val="32"/>
          <w:lang w:val="en-US" w:eastAsia="zh-CN"/>
        </w:rPr>
        <w:t>县（区）初审。市商务局梳理需要进行评审的企业反馈给县（区）商务主管部门，县（区）商务主管部门通知有关企业提交相关材料，按本办法第二、三、四、六、七条规定对申请企业进行初审评分后报至市商务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第十条</w:t>
      </w:r>
      <w:r>
        <w:rPr>
          <w:rFonts w:hint="eastAsia" w:ascii="仿宋_GB2312" w:hAnsi="仿宋_GB2312" w:eastAsia="仿宋_GB2312" w:cs="仿宋_GB2312"/>
          <w:kern w:val="2"/>
          <w:sz w:val="32"/>
          <w:szCs w:val="32"/>
          <w:lang w:val="en-US" w:eastAsia="zh-CN"/>
        </w:rPr>
        <w:t xml:space="preserve">  </w:t>
      </w:r>
      <w:r>
        <w:rPr>
          <w:rFonts w:hint="eastAsia" w:ascii="仿宋_GB2312" w:hAnsi="仿宋_GB2312" w:eastAsia="仿宋_GB2312" w:cs="仿宋_GB2312"/>
          <w:sz w:val="32"/>
          <w:szCs w:val="32"/>
          <w:lang w:val="en-US" w:eastAsia="zh-CN"/>
        </w:rPr>
        <w:t>评审所需材料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（一）企业在线填报的《参展申请表》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val="en-US" w:eastAsia="zh-CN"/>
        </w:rPr>
        <w:t>池州市</w:t>
      </w:r>
      <w:r>
        <w:rPr>
          <w:rFonts w:hint="eastAsia" w:ascii="仿宋_GB2312" w:hAnsi="仿宋_GB2312" w:eastAsia="仿宋_GB2312" w:cs="仿宋_GB2312"/>
          <w:sz w:val="32"/>
          <w:szCs w:val="32"/>
        </w:rPr>
        <w:t>一般性展位评分表》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营业执照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）评审标准</w:t>
      </w:r>
      <w:r>
        <w:rPr>
          <w:rFonts w:hint="eastAsia" w:ascii="仿宋_GB2312" w:hAnsi="仿宋_GB2312" w:eastAsia="仿宋_GB2312" w:cs="仿宋_GB2312"/>
          <w:sz w:val="32"/>
          <w:szCs w:val="32"/>
          <w:lang w:eastAsia="zh-CN"/>
        </w:rPr>
        <w:t>佐证材料：</w:t>
      </w:r>
      <w:r>
        <w:rPr>
          <w:rFonts w:hint="eastAsia" w:ascii="仿宋_GB2312" w:hAnsi="仿宋_GB2312" w:eastAsia="仿宋_GB2312" w:cs="仿宋_GB2312"/>
          <w:sz w:val="32"/>
          <w:szCs w:val="32"/>
        </w:rPr>
        <w:t>企业</w:t>
      </w:r>
      <w:r>
        <w:rPr>
          <w:rFonts w:hint="eastAsia" w:ascii="仿宋_GB2312" w:hAnsi="仿宋_GB2312" w:eastAsia="仿宋_GB2312" w:cs="仿宋_GB2312"/>
          <w:sz w:val="32"/>
          <w:szCs w:val="32"/>
          <w:lang w:eastAsia="zh-CN"/>
        </w:rPr>
        <w:t>上一年度</w:t>
      </w:r>
      <w:r>
        <w:rPr>
          <w:rFonts w:hint="eastAsia" w:ascii="仿宋_GB2312" w:hAnsi="仿宋_GB2312" w:eastAsia="仿宋_GB2312" w:cs="仿宋_GB2312"/>
          <w:sz w:val="32"/>
          <w:szCs w:val="32"/>
        </w:rPr>
        <w:t>出口额</w:t>
      </w:r>
      <w:r>
        <w:rPr>
          <w:rFonts w:hint="eastAsia" w:ascii="仿宋_GB2312" w:hAnsi="仿宋_GB2312" w:eastAsia="仿宋_GB2312" w:cs="仿宋_GB2312"/>
          <w:sz w:val="32"/>
          <w:szCs w:val="32"/>
          <w:lang w:eastAsia="zh-CN"/>
        </w:rPr>
        <w:t>（市商务局统一提供）；</w:t>
      </w:r>
      <w:r>
        <w:rPr>
          <w:rFonts w:hint="eastAsia" w:ascii="仿宋_GB2312" w:hAnsi="仿宋_GB2312" w:eastAsia="仿宋_GB2312" w:cs="仿宋_GB2312"/>
          <w:sz w:val="32"/>
          <w:szCs w:val="32"/>
        </w:rPr>
        <w:t>有相关母子公司关系须提供证明文件和授权书；相关证书、</w:t>
      </w:r>
      <w:r>
        <w:rPr>
          <w:rFonts w:hint="eastAsia" w:ascii="仿宋_GB2312" w:hAnsi="仿宋_GB2312" w:eastAsia="仿宋_GB2312" w:cs="仿宋_GB2312"/>
          <w:sz w:val="32"/>
          <w:szCs w:val="32"/>
          <w:lang w:eastAsia="zh-CN"/>
        </w:rPr>
        <w:t>商标、</w:t>
      </w:r>
      <w:r>
        <w:rPr>
          <w:rFonts w:hint="eastAsia" w:ascii="仿宋_GB2312" w:hAnsi="仿宋_GB2312" w:eastAsia="仿宋_GB2312" w:cs="仿宋_GB2312"/>
          <w:sz w:val="32"/>
          <w:szCs w:val="32"/>
        </w:rPr>
        <w:t>专利</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复印件；</w:t>
      </w:r>
      <w:r>
        <w:rPr>
          <w:rFonts w:hint="eastAsia" w:ascii="仿宋_GB2312" w:hAnsi="仿宋_GB2312" w:eastAsia="仿宋_GB2312" w:cs="仿宋_GB2312"/>
          <w:sz w:val="32"/>
          <w:szCs w:val="32"/>
          <w:lang w:eastAsia="zh-CN"/>
        </w:rPr>
        <w:t>其他有关证明材料</w:t>
      </w:r>
      <w:r>
        <w:rPr>
          <w:rFonts w:hint="eastAsia" w:ascii="仿宋_GB2312" w:hAnsi="仿宋_GB2312" w:eastAsia="仿宋_GB2312" w:cs="仿宋_GB2312"/>
          <w:sz w:val="32"/>
          <w:szCs w:val="32"/>
        </w:rPr>
        <w:t>。</w:t>
      </w:r>
    </w:p>
    <w:p>
      <w:pPr>
        <w:pStyle w:val="3"/>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hAnsi="仿宋_GB2312" w:cs="仿宋_GB2312"/>
          <w:szCs w:val="32"/>
          <w:lang w:eastAsia="zh-CN"/>
        </w:rPr>
      </w:pPr>
      <w:r>
        <w:rPr>
          <w:rFonts w:hint="eastAsia" w:ascii="仿宋_GB2312" w:hAnsi="仿宋_GB2312" w:eastAsia="仿宋_GB2312" w:cs="仿宋_GB2312"/>
          <w:kern w:val="2"/>
          <w:sz w:val="32"/>
          <w:szCs w:val="32"/>
          <w:lang w:val="en-US" w:eastAsia="zh-CN"/>
        </w:rPr>
        <w:t>以上材料需加盖企业公章。</w:t>
      </w:r>
    </w:p>
    <w:p>
      <w:pPr>
        <w:pStyle w:val="3"/>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2"/>
          <w:sz w:val="32"/>
          <w:szCs w:val="32"/>
          <w:lang w:val="en-US" w:eastAsia="zh-CN"/>
        </w:rPr>
      </w:pPr>
      <w:r>
        <w:rPr>
          <w:rFonts w:hint="eastAsia" w:ascii="黑体" w:hAnsi="黑体" w:eastAsia="黑体" w:cs="黑体"/>
          <w:kern w:val="2"/>
          <w:sz w:val="32"/>
          <w:szCs w:val="32"/>
          <w:lang w:val="en-US" w:eastAsia="zh-CN"/>
        </w:rPr>
        <w:t>第十一条</w:t>
      </w:r>
      <w:r>
        <w:rPr>
          <w:rFonts w:hint="eastAsia" w:hAnsi="仿宋_GB2312" w:cs="仿宋_GB2312"/>
          <w:szCs w:val="32"/>
          <w:lang w:val="en-US" w:eastAsia="zh-CN"/>
        </w:rPr>
        <w:t xml:space="preserve">  </w:t>
      </w:r>
      <w:r>
        <w:rPr>
          <w:rFonts w:hint="eastAsia" w:ascii="仿宋_GB2312" w:hAnsi="仿宋_GB2312" w:eastAsia="仿宋_GB2312" w:cs="仿宋_GB2312"/>
          <w:kern w:val="2"/>
          <w:sz w:val="32"/>
          <w:szCs w:val="32"/>
          <w:lang w:val="en-US" w:eastAsia="zh-CN"/>
        </w:rPr>
        <w:t>终审确认。市</w:t>
      </w:r>
      <w:r>
        <w:rPr>
          <w:rFonts w:hint="eastAsia" w:hAnsi="仿宋_GB2312" w:cs="仿宋_GB2312"/>
          <w:kern w:val="2"/>
          <w:sz w:val="32"/>
          <w:szCs w:val="32"/>
          <w:lang w:val="en-US" w:eastAsia="zh-CN"/>
        </w:rPr>
        <w:t>商务局</w:t>
      </w:r>
      <w:r>
        <w:rPr>
          <w:rFonts w:hint="eastAsia" w:ascii="仿宋_GB2312" w:hAnsi="仿宋_GB2312" w:eastAsia="仿宋_GB2312" w:cs="仿宋_GB2312"/>
          <w:kern w:val="2"/>
          <w:sz w:val="32"/>
          <w:szCs w:val="32"/>
          <w:lang w:val="en-US" w:eastAsia="zh-CN"/>
        </w:rPr>
        <w:t>根据县（区）商务主管部门评分情况进行终审评分，并根据第四条确认一般性展位分配方案，并按程序进行公示。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第五章</w:t>
      </w:r>
      <w:r>
        <w:rPr>
          <w:rFonts w:hint="eastAsia" w:ascii="黑体" w:hAnsi="黑体" w:eastAsia="黑体" w:cs="黑体"/>
          <w:sz w:val="32"/>
          <w:szCs w:val="32"/>
          <w:lang w:val="en-US" w:eastAsia="zh-CN"/>
        </w:rPr>
        <w:t xml:space="preserve"> 附则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第十二条</w:t>
      </w:r>
      <w:r>
        <w:rPr>
          <w:rFonts w:hint="eastAsia" w:ascii="仿宋_GB2312" w:hAnsi="仿宋_GB2312" w:eastAsia="仿宋_GB2312" w:cs="仿宋_GB2312"/>
          <w:sz w:val="32"/>
          <w:szCs w:val="32"/>
          <w:lang w:val="en-US" w:eastAsia="zh-CN"/>
        </w:rPr>
        <w:t xml:space="preserve">  本办法由市商务局负责解释。未尽事宜，按商务部《中国进出口商品交易会出口展一般性展位数量安排办法》、安徽省《广交会一般性展位安排及管理办法》相关规定执行。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第十三条</w:t>
      </w:r>
      <w:r>
        <w:rPr>
          <w:rFonts w:hint="eastAsia" w:ascii="仿宋_GB2312" w:hAnsi="仿宋_GB2312" w:eastAsia="仿宋_GB2312" w:cs="仿宋_GB2312"/>
          <w:sz w:val="32"/>
          <w:szCs w:val="32"/>
          <w:lang w:val="en-US" w:eastAsia="zh-CN"/>
        </w:rPr>
        <w:t xml:space="preserve">  本办法自135 届广交会起执行，并根据广交会组织情况适时修订。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附件：</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池州市</w:t>
      </w:r>
      <w:r>
        <w:rPr>
          <w:rFonts w:hint="eastAsia" w:ascii="仿宋_GB2312" w:hAnsi="仿宋_GB2312" w:eastAsia="仿宋_GB2312" w:cs="仿宋_GB2312"/>
          <w:sz w:val="32"/>
          <w:szCs w:val="32"/>
        </w:rPr>
        <w:t>一般性展位评分表》</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附件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p>
    <w:tbl>
      <w:tblPr>
        <w:tblStyle w:val="5"/>
        <w:tblW w:w="10233" w:type="dxa"/>
        <w:tblInd w:w="-8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0"/>
        <w:gridCol w:w="1340"/>
        <w:gridCol w:w="4463"/>
        <w:gridCol w:w="931"/>
        <w:gridCol w:w="842"/>
        <w:gridCol w:w="842"/>
        <w:gridCol w:w="9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10233" w:type="dxa"/>
            <w:gridSpan w:val="7"/>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ascii="方正小标宋简体" w:hAnsi="方正小标宋简体" w:eastAsia="方正小标宋简体" w:cs="方正小标宋简体"/>
                <w:i w:val="0"/>
                <w:iCs w:val="0"/>
                <w:color w:val="000000"/>
                <w:sz w:val="44"/>
                <w:szCs w:val="44"/>
                <w:u w:val="none"/>
              </w:rPr>
            </w:pPr>
            <w:r>
              <w:rPr>
                <w:rFonts w:hint="eastAsia" w:ascii="方正小标宋简体" w:hAnsi="方正小标宋简体" w:eastAsia="方正小标宋简体" w:cs="方正小标宋简体"/>
                <w:i w:val="0"/>
                <w:iCs w:val="0"/>
                <w:color w:val="000000"/>
                <w:kern w:val="0"/>
                <w:sz w:val="44"/>
                <w:szCs w:val="44"/>
                <w:u w:val="none"/>
                <w:lang w:val="en-US" w:eastAsia="zh-CN" w:bidi="ar"/>
              </w:rPr>
              <w:t>池州市一般性展位评分表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trPr>
        <w:tc>
          <w:tcPr>
            <w:tcW w:w="6683" w:type="dxa"/>
            <w:gridSpan w:val="3"/>
            <w:tcBorders>
              <w:top w:val="nil"/>
              <w:left w:val="nil"/>
              <w:bottom w:val="nil"/>
              <w:right w:val="nil"/>
            </w:tcBorders>
            <w:shd w:val="clear" w:color="auto" w:fill="auto"/>
            <w:noWrap/>
            <w:vAlign w:val="center"/>
          </w:tcPr>
          <w:p>
            <w:pPr>
              <w:keepNext w:val="0"/>
              <w:keepLines w:val="0"/>
              <w:pageBreakBefore w:val="0"/>
              <w:kinsoku/>
              <w:wordWrap/>
              <w:overflowPunct/>
              <w:topLinePunct w:val="0"/>
              <w:autoSpaceDE/>
              <w:autoSpaceDN/>
              <w:bidi w:val="0"/>
              <w:adjustRightInd/>
              <w:snapToGrid w:val="0"/>
              <w:jc w:val="both"/>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企业名称（盖章）：</w:t>
            </w:r>
          </w:p>
        </w:tc>
        <w:tc>
          <w:tcPr>
            <w:tcW w:w="3550" w:type="dxa"/>
            <w:gridSpan w:val="4"/>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申报展区：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序号</w:t>
            </w:r>
          </w:p>
        </w:tc>
        <w:tc>
          <w:tcPr>
            <w:tcW w:w="580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评分项目</w:t>
            </w: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宋体" w:eastAsia="黑体" w:cs="黑体"/>
                <w:b w:val="0"/>
                <w:bCs w:val="0"/>
                <w:i w:val="0"/>
                <w:iCs w:val="0"/>
                <w:color w:val="000000"/>
                <w:sz w:val="28"/>
                <w:szCs w:val="28"/>
                <w:u w:val="none"/>
                <w:lang w:eastAsia="zh-CN"/>
              </w:rPr>
            </w:pPr>
            <w:r>
              <w:rPr>
                <w:rFonts w:hint="eastAsia" w:ascii="黑体" w:hAnsi="宋体" w:eastAsia="黑体" w:cs="黑体"/>
                <w:b w:val="0"/>
                <w:bCs w:val="0"/>
                <w:i w:val="0"/>
                <w:iCs w:val="0"/>
                <w:color w:val="000000"/>
                <w:sz w:val="28"/>
                <w:szCs w:val="28"/>
                <w:u w:val="none"/>
                <w:lang w:eastAsia="zh-CN"/>
              </w:rPr>
              <w:t>分值</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企业自评</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县区初审</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1</w:t>
            </w:r>
          </w:p>
        </w:tc>
        <w:tc>
          <w:tcPr>
            <w:tcW w:w="1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出口额及出口增幅</w:t>
            </w:r>
          </w:p>
        </w:tc>
        <w:tc>
          <w:tcPr>
            <w:tcW w:w="4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前三年海关统计平均出口额（35分）</w:t>
            </w:r>
          </w:p>
        </w:tc>
        <w:tc>
          <w:tcPr>
            <w:tcW w:w="9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50</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前一年度出口增幅（15分）</w:t>
            </w:r>
          </w:p>
        </w:tc>
        <w:tc>
          <w:tcPr>
            <w:tcW w:w="9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2</w:t>
            </w:r>
          </w:p>
        </w:tc>
        <w:tc>
          <w:tcPr>
            <w:tcW w:w="1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国际通行认证</w:t>
            </w: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质量管理体系、环境管理体系或行业认证等认证（每一项2分）</w:t>
            </w:r>
          </w:p>
        </w:tc>
        <w:tc>
          <w:tcPr>
            <w:tcW w:w="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10</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3</w:t>
            </w:r>
          </w:p>
        </w:tc>
        <w:tc>
          <w:tcPr>
            <w:tcW w:w="1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创新能力</w:t>
            </w: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高新技术企业认定（5分）</w:t>
            </w:r>
          </w:p>
        </w:tc>
        <w:tc>
          <w:tcPr>
            <w:tcW w:w="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5</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发明专利（每一项3分）</w:t>
            </w:r>
          </w:p>
        </w:tc>
        <w:tc>
          <w:tcPr>
            <w:tcW w:w="9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10</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实用新型专利（每一项2分）</w:t>
            </w:r>
          </w:p>
        </w:tc>
        <w:tc>
          <w:tcPr>
            <w:tcW w:w="9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外观专利（每10项3分，最高5分）</w:t>
            </w:r>
          </w:p>
        </w:tc>
        <w:tc>
          <w:tcPr>
            <w:tcW w:w="9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4</w:t>
            </w:r>
          </w:p>
        </w:tc>
        <w:tc>
          <w:tcPr>
            <w:tcW w:w="1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商标和品牌荣誉</w:t>
            </w:r>
          </w:p>
        </w:tc>
        <w:tc>
          <w:tcPr>
            <w:tcW w:w="446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境内注册商标（1分）</w:t>
            </w:r>
          </w:p>
        </w:tc>
        <w:tc>
          <w:tcPr>
            <w:tcW w:w="9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15</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境外注册商标一个国家（地区）计1分（4分）</w:t>
            </w:r>
          </w:p>
        </w:tc>
        <w:tc>
          <w:tcPr>
            <w:tcW w:w="9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国家级品牌认证或“安徽出口品牌”（4分）</w:t>
            </w:r>
          </w:p>
        </w:tc>
        <w:tc>
          <w:tcPr>
            <w:tcW w:w="9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制定或修改国家标准或行业标准（3分）</w:t>
            </w:r>
          </w:p>
        </w:tc>
        <w:tc>
          <w:tcPr>
            <w:tcW w:w="9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海关AEO（高级）认证企业（2分）</w:t>
            </w:r>
          </w:p>
        </w:tc>
        <w:tc>
          <w:tcPr>
            <w:tcW w:w="9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专精特新“小巨人”等省级及以上荣誉称号（1分）</w:t>
            </w:r>
          </w:p>
        </w:tc>
        <w:tc>
          <w:tcPr>
            <w:tcW w:w="931"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5</w:t>
            </w:r>
          </w:p>
        </w:tc>
        <w:tc>
          <w:tcPr>
            <w:tcW w:w="1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行业自律</w:t>
            </w:r>
          </w:p>
        </w:tc>
        <w:tc>
          <w:tcPr>
            <w:tcW w:w="4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应对国外“两反两保”调查和出口管制及制裁（5分）</w:t>
            </w:r>
          </w:p>
        </w:tc>
        <w:tc>
          <w:tcPr>
            <w:tcW w:w="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5</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6</w:t>
            </w:r>
          </w:p>
        </w:tc>
        <w:tc>
          <w:tcPr>
            <w:tcW w:w="1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参展和配合商务工作</w:t>
            </w: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境内外重点展会（3分）</w:t>
            </w:r>
          </w:p>
        </w:tc>
        <w:tc>
          <w:tcPr>
            <w:tcW w:w="9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5</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在安徽单一窗口申请产地证、报关（1分）</w:t>
            </w:r>
          </w:p>
        </w:tc>
        <w:tc>
          <w:tcPr>
            <w:tcW w:w="9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446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仿宋_GB2312" w:hAnsi="宋体" w:eastAsia="仿宋_GB2312" w:cs="仿宋_GB2312"/>
                <w:b w:val="0"/>
                <w:bCs w:val="0"/>
                <w:i w:val="0"/>
                <w:iCs w:val="0"/>
                <w:color w:val="000000"/>
                <w:sz w:val="24"/>
                <w:szCs w:val="24"/>
                <w:u w:val="none"/>
              </w:rPr>
            </w:pPr>
            <w:r>
              <w:rPr>
                <w:rFonts w:hint="eastAsia" w:ascii="仿宋_GB2312" w:hAnsi="宋体" w:eastAsia="仿宋_GB2312" w:cs="仿宋_GB2312"/>
                <w:b w:val="0"/>
                <w:bCs w:val="0"/>
                <w:i w:val="0"/>
                <w:iCs w:val="0"/>
                <w:color w:val="000000"/>
                <w:kern w:val="0"/>
                <w:sz w:val="24"/>
                <w:szCs w:val="24"/>
                <w:u w:val="none"/>
                <w:lang w:val="en-US" w:eastAsia="zh-CN" w:bidi="ar"/>
              </w:rPr>
              <w:t>支持配合外贸工作（1分）</w:t>
            </w:r>
          </w:p>
        </w:tc>
        <w:tc>
          <w:tcPr>
            <w:tcW w:w="9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rPr>
                <w:rFonts w:hint="eastAsia" w:ascii="仿宋_GB2312" w:hAnsi="宋体" w:eastAsia="仿宋_GB2312" w:cs="仿宋_GB2312"/>
                <w:b w:val="0"/>
                <w:bCs w:val="0"/>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eastAsia" w:ascii="仿宋_GB2312" w:hAnsi="宋体" w:eastAsia="仿宋_GB2312" w:cs="仿宋_GB2312"/>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66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宋体" w:hAnsi="宋体" w:eastAsia="宋体" w:cs="宋体"/>
                <w:b w:val="0"/>
                <w:bCs w:val="0"/>
                <w:i w:val="0"/>
                <w:iCs w:val="0"/>
                <w:color w:val="000000"/>
                <w:sz w:val="28"/>
                <w:szCs w:val="28"/>
                <w:u w:val="none"/>
              </w:rPr>
            </w:pPr>
            <w:r>
              <w:rPr>
                <w:rFonts w:hint="eastAsia" w:ascii="宋体" w:hAnsi="宋体" w:eastAsia="宋体" w:cs="宋体"/>
                <w:b w:val="0"/>
                <w:bCs w:val="0"/>
                <w:i w:val="0"/>
                <w:iCs w:val="0"/>
                <w:color w:val="000000"/>
                <w:kern w:val="0"/>
                <w:sz w:val="28"/>
                <w:szCs w:val="28"/>
                <w:u w:val="none"/>
                <w:lang w:val="en-US" w:eastAsia="zh-CN" w:bidi="ar"/>
              </w:rPr>
              <w:t>合计</w:t>
            </w:r>
          </w:p>
        </w:tc>
        <w:tc>
          <w:tcPr>
            <w:tcW w:w="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default" w:ascii="Times New Roman" w:hAnsi="Times New Roman" w:eastAsia="宋体" w:cs="Times New Roman"/>
                <w:b w:val="0"/>
                <w:bCs w:val="0"/>
                <w:i w:val="0"/>
                <w:iCs w:val="0"/>
                <w:color w:val="000000"/>
                <w:sz w:val="28"/>
                <w:szCs w:val="28"/>
                <w:u w:val="none"/>
              </w:rPr>
            </w:pPr>
            <w:r>
              <w:rPr>
                <w:rFonts w:hint="default" w:ascii="Times New Roman" w:hAnsi="Times New Roman" w:eastAsia="宋体" w:cs="Times New Roman"/>
                <w:b w:val="0"/>
                <w:bCs w:val="0"/>
                <w:i w:val="0"/>
                <w:iCs w:val="0"/>
                <w:color w:val="000000"/>
                <w:kern w:val="0"/>
                <w:sz w:val="28"/>
                <w:szCs w:val="28"/>
                <w:u w:val="none"/>
                <w:lang w:val="en-US" w:eastAsia="zh-CN" w:bidi="ar"/>
              </w:rPr>
              <w:t>100</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i w:val="0"/>
                <w:iCs w:val="0"/>
                <w:color w:val="000000"/>
                <w:sz w:val="28"/>
                <w:szCs w:val="28"/>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i w:val="0"/>
                <w:iCs w:val="0"/>
                <w:color w:val="000000"/>
                <w:sz w:val="28"/>
                <w:szCs w:val="28"/>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8" w:hRule="atLeast"/>
        </w:trPr>
        <w:tc>
          <w:tcPr>
            <w:tcW w:w="10233" w:type="dxa"/>
            <w:gridSpan w:val="7"/>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both"/>
              <w:textAlignment w:val="center"/>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县区商务部门意见：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0233" w:type="dxa"/>
            <w:gridSpan w:val="7"/>
            <w:tcBorders>
              <w:top w:val="nil"/>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both"/>
              <w:textAlignment w:val="center"/>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 xml:space="preserve">       （盖章）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0233" w:type="dxa"/>
            <w:gridSpan w:val="7"/>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jc w:val="both"/>
              <w:textAlignment w:val="center"/>
              <w:rPr>
                <w:rFonts w:hint="eastAsia" w:ascii="黑体" w:hAnsi="宋体" w:eastAsia="黑体" w:cs="黑体"/>
                <w:b w:val="0"/>
                <w:bCs w:val="0"/>
                <w:i w:val="0"/>
                <w:iCs w:val="0"/>
                <w:color w:val="000000"/>
                <w:sz w:val="28"/>
                <w:szCs w:val="28"/>
                <w:u w:val="none"/>
              </w:rPr>
            </w:pPr>
            <w:r>
              <w:rPr>
                <w:rFonts w:hint="eastAsia" w:ascii="黑体" w:hAnsi="宋体" w:eastAsia="黑体" w:cs="黑体"/>
                <w:b w:val="0"/>
                <w:bCs w:val="0"/>
                <w:i w:val="0"/>
                <w:iCs w:val="0"/>
                <w:color w:val="000000"/>
                <w:kern w:val="0"/>
                <w:sz w:val="28"/>
                <w:szCs w:val="28"/>
                <w:u w:val="none"/>
                <w:lang w:val="en-US" w:eastAsia="zh-CN" w:bidi="ar"/>
              </w:rPr>
              <w:t xml:space="preserve">                                             </w:t>
            </w:r>
            <w:r>
              <w:rPr>
                <w:rFonts w:hint="eastAsia" w:ascii="仿宋_GB2312" w:hAnsi="仿宋_GB2312" w:eastAsia="仿宋_GB2312" w:cs="仿宋_GB2312"/>
                <w:b w:val="0"/>
                <w:bCs w:val="0"/>
                <w:i w:val="0"/>
                <w:iCs w:val="0"/>
                <w:color w:val="000000"/>
                <w:kern w:val="0"/>
                <w:sz w:val="28"/>
                <w:szCs w:val="28"/>
                <w:u w:val="none"/>
                <w:lang w:val="en-US" w:eastAsia="zh-CN" w:bidi="ar"/>
              </w:rPr>
              <w:t xml:space="preserve">     年  月  日</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73765A"/>
    <w:multiLevelType w:val="singleLevel"/>
    <w:tmpl w:val="0473765A"/>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MTYwZTk3MzE2MDliMzE4MTYwOWZlZmVjNzc5NGIifQ=="/>
  </w:docVars>
  <w:rsids>
    <w:rsidRoot w:val="637E184E"/>
    <w:rsid w:val="15581DE0"/>
    <w:rsid w:val="218875C4"/>
    <w:rsid w:val="48B86374"/>
    <w:rsid w:val="4D86427C"/>
    <w:rsid w:val="637E18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 w:type="paragraph" w:styleId="3">
    <w:name w:val="Body Text Indent"/>
    <w:basedOn w:val="1"/>
    <w:qFormat/>
    <w:uiPriority w:val="0"/>
    <w:pPr>
      <w:spacing w:line="520" w:lineRule="exact"/>
      <w:ind w:firstLine="630"/>
    </w:pPr>
    <w:rPr>
      <w:rFonts w:ascii="仿宋_GB2312" w:eastAsia="仿宋_GB2312"/>
      <w:sz w:val="32"/>
    </w:rPr>
  </w:style>
  <w:style w:type="paragraph" w:styleId="4">
    <w:name w:val="Normal (Web)"/>
    <w:basedOn w:val="1"/>
    <w:qFormat/>
    <w:uiPriority w:val="0"/>
    <w:pPr>
      <w:spacing w:before="100" w:beforeAutospacing="1" w:after="100" w:afterAutospacing="1"/>
      <w:jc w:val="left"/>
    </w:pPr>
    <w:rPr>
      <w:rFonts w:ascii="Calibri" w:hAnsi="Calibri" w:eastAsia="宋体" w:cs="Times New Roman"/>
      <w:kern w:val="0"/>
      <w:sz w:val="24"/>
      <w:szCs w:val="24"/>
    </w:rPr>
  </w:style>
  <w:style w:type="paragraph" w:customStyle="1" w:styleId="7">
    <w:name w:val="CM10"/>
    <w:basedOn w:val="1"/>
    <w:next w:val="1"/>
    <w:qFormat/>
    <w:uiPriority w:val="0"/>
    <w:pPr>
      <w:autoSpaceDE w:val="0"/>
      <w:autoSpaceDN w:val="0"/>
      <w:adjustRightInd w:val="0"/>
      <w:spacing w:line="580" w:lineRule="atLeast"/>
      <w:jc w:val="left"/>
    </w:pPr>
    <w:rPr>
      <w:rFonts w:ascii="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2023-12-14T01:36:00Z</dcterms:created>
  <dc:creator>c</dc:creator>
  <cp:lastModifiedBy>李想</cp:lastModifiedBy>
  <cp:lastPrinted>2023-12-15T08:10:00Z</cp:lastPrinted>
  <dcterms:modified xsi:type="dcterms:W3CDTF">2023-12-20T03:34:07Z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9E01C6538E4B4D8C97E1D916EC1503E0_11</vt:lpwstr>
  </property>
</Properties>
</file>