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9"/>
          <w:rFonts w:hint="eastAsia" w:ascii="方正小标宋简体" w:hAnsi="Arial" w:eastAsia="方正小标宋简体" w:cs="Arial"/>
          <w:b w:val="0"/>
          <w:bCs w:val="0"/>
          <w:color w:val="333333"/>
          <w:sz w:val="44"/>
          <w:szCs w:val="44"/>
          <w:shd w:val="clear" w:color="auto" w:fill="FFFFFF"/>
        </w:rPr>
      </w:pPr>
      <w:r>
        <w:rPr>
          <w:rStyle w:val="9"/>
          <w:rFonts w:hint="eastAsia" w:ascii="方正小标宋简体" w:hAnsi="Arial" w:eastAsia="方正小标宋简体" w:cs="Arial"/>
          <w:b w:val="0"/>
          <w:bCs w:val="0"/>
          <w:color w:val="333333"/>
          <w:sz w:val="44"/>
          <w:szCs w:val="44"/>
          <w:shd w:val="clear" w:color="auto" w:fill="FFFFFF"/>
          <w:lang w:val="en-US" w:eastAsia="zh-CN"/>
        </w:rPr>
        <w:t>池州市</w:t>
      </w:r>
      <w:r>
        <w:rPr>
          <w:rStyle w:val="9"/>
          <w:rFonts w:hint="eastAsia" w:ascii="方正小标宋简体" w:hAnsi="Arial" w:eastAsia="方正小标宋简体" w:cs="Arial"/>
          <w:b w:val="0"/>
          <w:bCs w:val="0"/>
          <w:color w:val="333333"/>
          <w:sz w:val="44"/>
          <w:szCs w:val="44"/>
          <w:shd w:val="clear" w:color="auto" w:fill="FFFFFF"/>
        </w:rPr>
        <w:t>促进服务业领域困难行业</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Arial" w:eastAsia="方正小标宋简体" w:cs="Arial"/>
          <w:b w:val="0"/>
          <w:bCs w:val="0"/>
          <w:color w:val="333333"/>
          <w:sz w:val="44"/>
          <w:szCs w:val="44"/>
          <w:shd w:val="clear" w:color="auto" w:fill="FFFFFF"/>
        </w:rPr>
      </w:pPr>
      <w:r>
        <w:rPr>
          <w:rStyle w:val="9"/>
          <w:rFonts w:hint="eastAsia" w:ascii="方正小标宋简体" w:hAnsi="Arial" w:eastAsia="方正小标宋简体" w:cs="Arial"/>
          <w:b w:val="0"/>
          <w:bCs w:val="0"/>
          <w:color w:val="333333"/>
          <w:sz w:val="44"/>
          <w:szCs w:val="44"/>
          <w:shd w:val="clear" w:color="auto" w:fill="FFFFFF"/>
        </w:rPr>
        <w:t>恢复发展若干政</w:t>
      </w:r>
      <w:bookmarkStart w:id="1" w:name="_GoBack"/>
      <w:bookmarkEnd w:id="1"/>
      <w:r>
        <w:rPr>
          <w:rStyle w:val="9"/>
          <w:rFonts w:hint="eastAsia" w:ascii="方正小标宋简体" w:hAnsi="Arial" w:eastAsia="方正小标宋简体" w:cs="Arial"/>
          <w:b w:val="0"/>
          <w:bCs w:val="0"/>
          <w:color w:val="333333"/>
          <w:sz w:val="44"/>
          <w:szCs w:val="44"/>
          <w:shd w:val="clear" w:color="auto" w:fill="FFFFFF"/>
        </w:rPr>
        <w:t>策措施</w:t>
      </w:r>
    </w:p>
    <w:p>
      <w:pPr>
        <w:keepNext w:val="0"/>
        <w:keepLines w:val="0"/>
        <w:pageBreakBefore w:val="0"/>
        <w:kinsoku/>
        <w:wordWrap/>
        <w:overflowPunct/>
        <w:topLinePunct w:val="0"/>
        <w:bidi w:val="0"/>
        <w:adjustRightInd/>
        <w:snapToGrid/>
        <w:spacing w:line="560" w:lineRule="exact"/>
        <w:jc w:val="center"/>
        <w:textAlignment w:val="auto"/>
        <w:rPr>
          <w:rFonts w:hint="eastAsia" w:eastAsia="仿宋_GB2312"/>
          <w:lang w:val="en-US" w:eastAsia="zh-CN"/>
        </w:rPr>
      </w:pPr>
      <w:r>
        <w:rPr>
          <w:rFonts w:hint="eastAsia" w:ascii="楷体_GB2312" w:hAnsi="楷体_GB2312" w:eastAsia="楷体_GB2312" w:cs="楷体_GB2312"/>
          <w:sz w:val="32"/>
          <w:szCs w:val="32"/>
          <w:lang w:val="en-US" w:eastAsia="zh-CN"/>
        </w:rPr>
        <w:t>（征求意见稿）</w:t>
      </w:r>
    </w:p>
    <w:p>
      <w:pPr>
        <w:keepNext w:val="0"/>
        <w:keepLines w:val="0"/>
        <w:pageBreakBefore w:val="0"/>
        <w:kinsoku/>
        <w:wordWrap/>
        <w:overflowPunct/>
        <w:topLinePunct w:val="0"/>
        <w:bidi w:val="0"/>
        <w:adjustRightInd/>
        <w:snapToGrid/>
        <w:spacing w:line="560" w:lineRule="exact"/>
        <w:ind w:firstLine="640" w:firstLineChars="200"/>
        <w:textAlignment w:val="auto"/>
        <w:rPr>
          <w:rStyle w:val="9"/>
          <w:rFonts w:hint="eastAsia" w:ascii="黑体" w:hAnsi="Arial" w:eastAsia="黑体" w:cs="Arial"/>
          <w:b w:val="0"/>
          <w:color w:val="333333"/>
          <w:sz w:val="32"/>
          <w:szCs w:val="32"/>
          <w:shd w:val="clear" w:color="auto" w:fill="FFFFFF"/>
        </w:rPr>
      </w:pPr>
    </w:p>
    <w:p>
      <w:pPr>
        <w:keepNext w:val="0"/>
        <w:keepLines w:val="0"/>
        <w:pageBreakBefore w:val="0"/>
        <w:kinsoku/>
        <w:wordWrap/>
        <w:overflowPunct/>
        <w:topLinePunct w:val="0"/>
        <w:bidi w:val="0"/>
        <w:adjustRightInd/>
        <w:snapToGrid/>
        <w:spacing w:line="560" w:lineRule="exact"/>
        <w:ind w:firstLine="640" w:firstLineChars="200"/>
        <w:textAlignment w:val="auto"/>
        <w:rPr>
          <w:rFonts w:hint="eastAsia" w:ascii="黑体" w:eastAsia="黑体"/>
          <w:b/>
          <w:sz w:val="32"/>
          <w:szCs w:val="32"/>
        </w:rPr>
      </w:pPr>
      <w:r>
        <w:rPr>
          <w:rStyle w:val="9"/>
          <w:rFonts w:hint="eastAsia" w:ascii="黑体" w:hAnsi="Arial" w:eastAsia="黑体" w:cs="Arial"/>
          <w:b w:val="0"/>
          <w:color w:val="333333"/>
          <w:sz w:val="32"/>
          <w:szCs w:val="32"/>
          <w:shd w:val="clear" w:color="auto" w:fill="FFFFFF"/>
        </w:rPr>
        <w:t>一、服务业普惠性纾困扶持措施</w:t>
      </w:r>
    </w:p>
    <w:p>
      <w:pPr>
        <w:keepNext w:val="0"/>
        <w:keepLines w:val="0"/>
        <w:pageBreakBefore w:val="0"/>
        <w:kinsoku/>
        <w:wordWrap/>
        <w:overflowPunct/>
        <w:topLinePunct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rPr>
        <w:t>1</w:t>
      </w:r>
      <w:r>
        <w:rPr>
          <w:rFonts w:hint="eastAsia" w:ascii="仿宋_GB2312" w:hAnsi="Arial" w:eastAsia="仿宋_GB2312" w:cs="Arial"/>
          <w:color w:val="333333"/>
          <w:sz w:val="32"/>
          <w:szCs w:val="32"/>
          <w:shd w:val="clear" w:color="auto" w:fill="FFFFFF"/>
          <w:lang w:val="en-US" w:eastAsia="zh-CN"/>
        </w:rPr>
        <w:t>.</w:t>
      </w:r>
      <w:r>
        <w:rPr>
          <w:rFonts w:hint="eastAsia" w:ascii="仿宋_GB2312" w:hAnsi="Arial" w:eastAsia="仿宋_GB2312" w:cs="Arial"/>
          <w:color w:val="333333"/>
          <w:sz w:val="32"/>
          <w:szCs w:val="32"/>
          <w:shd w:val="clear" w:color="auto" w:fill="FFFFFF"/>
        </w:rPr>
        <w:t>延续服务业增值税加计抵减政策，2022 年对生产、生活性服务业纳税人当期可抵扣进项税额继续分别按 10%和 15%加计抵减应纳税额。</w:t>
      </w:r>
      <w:r>
        <w:rPr>
          <w:rFonts w:hint="eastAsia" w:ascii="仿宋_GB2312" w:hAnsi="仿宋_GB2312" w:eastAsia="仿宋_GB2312" w:cs="仿宋_GB2312"/>
          <w:i w:val="0"/>
          <w:caps w:val="0"/>
          <w:color w:val="333333"/>
          <w:spacing w:val="0"/>
          <w:sz w:val="32"/>
          <w:szCs w:val="32"/>
          <w:shd w:val="clear" w:color="auto" w:fill="FFFFFF"/>
        </w:rPr>
        <w:t>扩大“六税两费”</w:t>
      </w:r>
      <w:r>
        <w:rPr>
          <w:rFonts w:hint="eastAsia" w:ascii="仿宋_GB2312" w:hAnsi="仿宋_GB2312" w:eastAsia="仿宋_GB2312" w:cs="仿宋_GB2312"/>
          <w:i w:val="0"/>
          <w:caps w:val="0"/>
          <w:color w:val="333333"/>
          <w:spacing w:val="0"/>
          <w:sz w:val="32"/>
          <w:szCs w:val="32"/>
          <w:shd w:val="clear" w:color="auto" w:fill="FFFFFF"/>
          <w:lang w:eastAsia="zh-CN"/>
        </w:rPr>
        <w:t>适用</w:t>
      </w:r>
      <w:r>
        <w:rPr>
          <w:rFonts w:hint="eastAsia" w:ascii="仿宋_GB2312" w:hAnsi="仿宋_GB2312" w:eastAsia="仿宋_GB2312" w:cs="仿宋_GB2312"/>
          <w:i w:val="0"/>
          <w:caps w:val="0"/>
          <w:color w:val="333333"/>
          <w:spacing w:val="0"/>
          <w:sz w:val="32"/>
          <w:szCs w:val="32"/>
          <w:shd w:val="clear" w:color="auto" w:fill="FFFFFF"/>
        </w:rPr>
        <w:t>范围</w:t>
      </w:r>
      <w:r>
        <w:rPr>
          <w:rFonts w:hint="eastAsia" w:ascii="仿宋_GB2312" w:hAnsi="仿宋_GB2312" w:eastAsia="仿宋_GB2312" w:cs="仿宋_GB2312"/>
          <w:i w:val="0"/>
          <w:caps w:val="0"/>
          <w:color w:val="333333"/>
          <w:spacing w:val="0"/>
          <w:sz w:val="32"/>
          <w:szCs w:val="32"/>
          <w:shd w:val="clear" w:color="auto" w:fill="FFFFFF"/>
          <w:lang w:eastAsia="zh-CN"/>
        </w:rPr>
        <w:t>、中小微企业设备器具税前扣除等支持政策，符合条件的服务业市场主体可以享受</w:t>
      </w:r>
      <w:r>
        <w:rPr>
          <w:rFonts w:hint="eastAsia" w:ascii="仿宋_GB2312" w:hAnsi="仿宋_GB2312" w:eastAsia="仿宋_GB2312" w:cs="仿宋_GB2312"/>
          <w:i w:val="0"/>
          <w:caps w:val="0"/>
          <w:color w:val="333333"/>
          <w:spacing w:val="0"/>
          <w:sz w:val="32"/>
          <w:szCs w:val="32"/>
          <w:shd w:val="clear" w:color="auto" w:fill="FFFFFF"/>
        </w:rPr>
        <w:t>。</w:t>
      </w:r>
      <w:r>
        <w:rPr>
          <w:rFonts w:ascii="仿宋_GB2312" w:hAnsi="Arial" w:eastAsia="仿宋_GB2312" w:cs="Arial"/>
          <w:color w:val="333333"/>
          <w:sz w:val="32"/>
          <w:szCs w:val="32"/>
          <w:shd w:val="clear" w:color="auto" w:fill="FFFFFF"/>
        </w:rPr>
        <w:t>（</w:t>
      </w:r>
      <w:r>
        <w:rPr>
          <w:rFonts w:hint="eastAsia" w:ascii="仿宋_GB2312" w:hAnsi="Arial" w:eastAsia="仿宋_GB2312" w:cs="Arial"/>
          <w:color w:val="333333"/>
          <w:sz w:val="32"/>
          <w:szCs w:val="32"/>
          <w:shd w:val="clear" w:color="auto" w:fill="FFFFFF"/>
          <w:lang w:val="en-US" w:eastAsia="zh-CN"/>
        </w:rPr>
        <w:t>市</w:t>
      </w:r>
      <w:r>
        <w:rPr>
          <w:rFonts w:ascii="仿宋_GB2312" w:hAnsi="Arial" w:eastAsia="仿宋_GB2312" w:cs="Arial"/>
          <w:color w:val="333333"/>
          <w:sz w:val="32"/>
          <w:szCs w:val="32"/>
          <w:shd w:val="clear" w:color="auto" w:fill="FFFFFF"/>
        </w:rPr>
        <w:t>税务局</w:t>
      </w:r>
      <w:r>
        <w:rPr>
          <w:rFonts w:hint="eastAsia" w:ascii="仿宋_GB2312" w:hAnsi="Arial" w:eastAsia="仿宋_GB2312" w:cs="Arial"/>
          <w:color w:val="333333"/>
          <w:sz w:val="32"/>
          <w:szCs w:val="32"/>
          <w:shd w:val="clear" w:color="auto" w:fill="FFFFFF"/>
          <w:lang w:eastAsia="zh-CN"/>
        </w:rPr>
        <w:t>、市财政局</w:t>
      </w:r>
      <w:r>
        <w:rPr>
          <w:rFonts w:ascii="仿宋_GB2312" w:hAnsi="Arial" w:eastAsia="仿宋_GB2312" w:cs="Arial"/>
          <w:color w:val="333333"/>
          <w:sz w:val="32"/>
          <w:szCs w:val="32"/>
          <w:shd w:val="clear" w:color="auto"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caps w:val="0"/>
          <w:color w:val="333333"/>
          <w:spacing w:val="0"/>
          <w:sz w:val="32"/>
          <w:szCs w:val="32"/>
          <w:shd w:val="clear" w:color="auto" w:fill="FFFFFF"/>
        </w:rPr>
        <w:t>　</w:t>
      </w:r>
      <w:r>
        <w:rPr>
          <w:rFonts w:hint="eastAsia" w:ascii="仿宋_GB2312" w:hAnsi="仿宋_GB2312" w:eastAsia="仿宋_GB2312" w:cs="仿宋_GB2312"/>
          <w:i w:val="0"/>
          <w:caps w:val="0"/>
          <w:color w:val="333333"/>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333333"/>
          <w:spacing w:val="0"/>
          <w:sz w:val="32"/>
          <w:szCs w:val="32"/>
          <w:shd w:val="clear" w:color="auto" w:fill="FFFFFF"/>
        </w:rPr>
        <w:t>2.对困难企业减免部分税收。2022年对缴纳房产税、城镇土地使用税确有困难的纳税人给予减免。符合条件的服务业市场主体可以享受。（</w:t>
      </w:r>
      <w:r>
        <w:rPr>
          <w:rFonts w:hint="eastAsia" w:ascii="仿宋_GB2312" w:hAnsi="Arial" w:eastAsia="仿宋_GB2312" w:cs="Arial"/>
          <w:color w:val="333333"/>
          <w:sz w:val="32"/>
          <w:szCs w:val="32"/>
          <w:shd w:val="clear" w:color="auto" w:fill="FFFFFF"/>
          <w:lang w:val="en-US" w:eastAsia="zh-CN"/>
        </w:rPr>
        <w:t>市</w:t>
      </w:r>
      <w:r>
        <w:rPr>
          <w:rFonts w:ascii="仿宋_GB2312" w:hAnsi="Arial" w:eastAsia="仿宋_GB2312" w:cs="Arial"/>
          <w:color w:val="333333"/>
          <w:sz w:val="32"/>
          <w:szCs w:val="32"/>
          <w:shd w:val="clear" w:color="auto" w:fill="FFFFFF"/>
        </w:rPr>
        <w:t>税务局</w:t>
      </w:r>
      <w:r>
        <w:rPr>
          <w:rFonts w:hint="eastAsia" w:ascii="仿宋_GB2312" w:hAnsi="仿宋_GB2312" w:eastAsia="仿宋_GB2312" w:cs="仿宋_GB2312"/>
          <w:i w:val="0"/>
          <w:caps w:val="0"/>
          <w:color w:val="333333"/>
          <w:spacing w:val="0"/>
          <w:sz w:val="32"/>
          <w:szCs w:val="32"/>
          <w:shd w:val="clear" w:color="auto"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320" w:firstLineChars="100"/>
        <w:textAlignment w:val="auto"/>
        <w:rPr>
          <w:rFonts w:hint="eastAsia" w:ascii="仿宋_GB2312" w:hAnsi="仿宋_GB2312" w:eastAsia="仿宋_GB2312" w:cs="仿宋_GB2312"/>
          <w:color w:val="333333"/>
          <w:sz w:val="32"/>
          <w:szCs w:val="32"/>
        </w:rPr>
      </w:pPr>
      <w:r>
        <w:rPr>
          <w:rFonts w:hint="eastAsia" w:ascii="仿宋_GB2312" w:hAnsi="仿宋_GB2312" w:eastAsia="仿宋_GB2312" w:cs="仿宋_GB2312"/>
          <w:i w:val="0"/>
          <w:caps w:val="0"/>
          <w:color w:val="333333"/>
          <w:spacing w:val="0"/>
          <w:sz w:val="32"/>
          <w:szCs w:val="32"/>
          <w:shd w:val="clear" w:color="auto" w:fill="FFFFFF"/>
        </w:rPr>
        <w:t>　</w:t>
      </w:r>
      <w:r>
        <w:rPr>
          <w:rFonts w:hint="eastAsia" w:ascii="仿宋_GB2312" w:hAnsi="仿宋_GB2312" w:eastAsia="仿宋_GB2312" w:cs="仿宋_GB2312"/>
          <w:i w:val="0"/>
          <w:caps w:val="0"/>
          <w:color w:val="333333"/>
          <w:spacing w:val="0"/>
          <w:sz w:val="32"/>
          <w:szCs w:val="32"/>
          <w:shd w:val="clear" w:color="auto" w:fill="FFFFFF"/>
          <w:lang w:val="en-US" w:eastAsia="zh-CN"/>
        </w:rPr>
        <w:t>3</w:t>
      </w:r>
      <w:r>
        <w:rPr>
          <w:rFonts w:hint="eastAsia" w:ascii="仿宋_GB2312" w:hAnsi="仿宋_GB2312" w:eastAsia="仿宋_GB2312" w:cs="仿宋_GB2312"/>
          <w:i w:val="0"/>
          <w:caps w:val="0"/>
          <w:color w:val="333333"/>
          <w:spacing w:val="0"/>
          <w:sz w:val="32"/>
          <w:szCs w:val="32"/>
          <w:shd w:val="clear" w:color="auto" w:fill="FFFFFF"/>
        </w:rPr>
        <w:t>.切实落实小型微利企业减免企业所得税政策。对小型微利企业年应纳税所得额超过100万元但不超过300万元的部分，减按25%计入应纳税所得额，按20%的税率缴纳所得税。符合条件的服务业市场主体可以享受。（</w:t>
      </w:r>
      <w:r>
        <w:rPr>
          <w:rFonts w:hint="eastAsia" w:ascii="仿宋_GB2312" w:hAnsi="Arial" w:eastAsia="仿宋_GB2312" w:cs="Arial"/>
          <w:color w:val="333333"/>
          <w:sz w:val="32"/>
          <w:szCs w:val="32"/>
          <w:shd w:val="clear" w:color="auto" w:fill="FFFFFF"/>
          <w:lang w:val="en-US" w:eastAsia="zh-CN"/>
        </w:rPr>
        <w:t>市</w:t>
      </w:r>
      <w:r>
        <w:rPr>
          <w:rFonts w:ascii="仿宋_GB2312" w:hAnsi="Arial" w:eastAsia="仿宋_GB2312" w:cs="Arial"/>
          <w:color w:val="333333"/>
          <w:sz w:val="32"/>
          <w:szCs w:val="32"/>
          <w:shd w:val="clear" w:color="auto" w:fill="FFFFFF"/>
        </w:rPr>
        <w:t>税务局</w:t>
      </w:r>
      <w:r>
        <w:rPr>
          <w:rFonts w:hint="eastAsia" w:ascii="仿宋_GB2312" w:hAnsi="仿宋_GB2312" w:eastAsia="仿宋_GB2312" w:cs="仿宋_GB2312"/>
          <w:i w:val="0"/>
          <w:caps w:val="0"/>
          <w:color w:val="333333"/>
          <w:spacing w:val="0"/>
          <w:sz w:val="32"/>
          <w:szCs w:val="32"/>
          <w:shd w:val="clear" w:color="auto" w:fill="FFFFFF"/>
        </w:rPr>
        <w:t>）</w:t>
      </w:r>
    </w:p>
    <w:p>
      <w:pPr>
        <w:keepNext w:val="0"/>
        <w:keepLines w:val="0"/>
        <w:pageBreakBefore w:val="0"/>
        <w:kinsoku/>
        <w:wordWrap/>
        <w:overflowPunct/>
        <w:topLinePunct w:val="0"/>
        <w:bidi w:val="0"/>
        <w:adjustRightInd/>
        <w:snapToGrid/>
        <w:spacing w:line="560" w:lineRule="exact"/>
        <w:ind w:firstLine="640" w:firstLineChars="200"/>
        <w:textAlignment w:val="auto"/>
        <w:rPr>
          <w:rFonts w:hint="eastAsia" w:ascii="仿宋_GB2312" w:eastAsia="仿宋_GB2312"/>
          <w:color w:val="000000"/>
          <w:kern w:val="0"/>
          <w:sz w:val="32"/>
          <w:szCs w:val="32"/>
        </w:rPr>
      </w:pPr>
      <w:r>
        <w:rPr>
          <w:rFonts w:hint="eastAsia" w:ascii="仿宋_GB2312" w:hAnsi="宋体" w:eastAsia="仿宋_GB2312" w:cs="宋体"/>
          <w:kern w:val="0"/>
          <w:sz w:val="32"/>
          <w:szCs w:val="32"/>
          <w:lang w:val="en-US" w:eastAsia="zh-CN"/>
        </w:rPr>
        <w:t>4.住房公积金缓缴。对受疫情影响，</w:t>
      </w:r>
      <w:r>
        <w:rPr>
          <w:rFonts w:hint="eastAsia" w:ascii="仿宋_GB2312" w:hAnsi="宋体" w:eastAsia="仿宋_GB2312" w:cs="宋体"/>
          <w:color w:val="000000"/>
          <w:kern w:val="0"/>
          <w:sz w:val="32"/>
          <w:szCs w:val="32"/>
        </w:rPr>
        <w:t>缴存住房公积金确有困难的</w:t>
      </w:r>
      <w:r>
        <w:rPr>
          <w:rFonts w:hint="eastAsia" w:ascii="仿宋_GB2312" w:hAnsi="宋体" w:eastAsia="仿宋_GB2312" w:cs="宋体"/>
          <w:color w:val="000000"/>
          <w:kern w:val="0"/>
          <w:sz w:val="32"/>
          <w:szCs w:val="32"/>
          <w:lang w:eastAsia="zh-CN"/>
        </w:rPr>
        <w:t>企业等用人单位</w:t>
      </w:r>
      <w:r>
        <w:rPr>
          <w:rFonts w:hint="eastAsia" w:ascii="仿宋_GB2312" w:hAnsi="宋体" w:eastAsia="仿宋_GB2312" w:cs="宋体"/>
          <w:color w:val="000000"/>
          <w:kern w:val="0"/>
          <w:sz w:val="32"/>
          <w:szCs w:val="32"/>
        </w:rPr>
        <w:t xml:space="preserve">，可申请缓缴住房公积金，缓缴期限不超过1年。（责任单位：市人社局、市住房公积金管理中心、市财政局） </w:t>
      </w:r>
    </w:p>
    <w:p>
      <w:pPr>
        <w:keepNext w:val="0"/>
        <w:keepLines w:val="0"/>
        <w:pageBreakBefore w:val="0"/>
        <w:widowControl/>
        <w:kinsoku/>
        <w:wordWrap/>
        <w:overflowPunct/>
        <w:topLinePunct w:val="0"/>
        <w:autoSpaceDE w:val="0"/>
        <w:autoSpaceDN w:val="0"/>
        <w:bidi w:val="0"/>
        <w:adjustRightInd/>
        <w:snapToGrid/>
        <w:spacing w:line="560" w:lineRule="exact"/>
        <w:ind w:firstLine="640" w:firstLineChars="200"/>
        <w:jc w:val="left"/>
        <w:textAlignment w:val="auto"/>
        <w:rPr>
          <w:rFonts w:hint="eastAsia" w:ascii="仿宋_GB2312" w:hAnsi="Arial" w:eastAsia="仿宋_GB2312" w:cs="Arial"/>
          <w:i w:val="0"/>
          <w:iCs w:val="0"/>
          <w:color w:val="333333"/>
          <w:sz w:val="32"/>
          <w:szCs w:val="32"/>
          <w:shd w:val="clear" w:color="auto" w:fill="FFFFFF"/>
          <w:lang w:val="en-US" w:eastAsia="zh-CN"/>
        </w:rPr>
      </w:pPr>
      <w:r>
        <w:rPr>
          <w:rFonts w:hint="eastAsia" w:ascii="仿宋_GB2312" w:hAnsi="宋体" w:eastAsia="仿宋_GB2312" w:cs="宋体"/>
          <w:kern w:val="0"/>
          <w:sz w:val="32"/>
          <w:szCs w:val="32"/>
        </w:rPr>
        <w:t>5.</w:t>
      </w:r>
      <w:r>
        <w:rPr>
          <w:rFonts w:hint="eastAsia" w:ascii="仿宋_GB2312" w:hAnsi="仿宋_GB2312" w:eastAsia="仿宋_GB2312" w:cs="仿宋_GB2312"/>
          <w:b w:val="0"/>
          <w:bCs/>
          <w:color w:val="000000"/>
          <w:kern w:val="0"/>
          <w:sz w:val="32"/>
          <w:szCs w:val="32"/>
        </w:rPr>
        <w:t>加强水电气等服务保障。</w:t>
      </w:r>
      <w:r>
        <w:rPr>
          <w:rFonts w:hint="eastAsia" w:ascii="仿宋_GB2312" w:eastAsia="仿宋_GB2312"/>
          <w:sz w:val="32"/>
          <w:szCs w:val="32"/>
        </w:rPr>
        <w:t>自即日起至2022年6月底，对我市小微企业(含个体工商户)因受疫情影响，暂时经营困难，无法按时缴纳城市公共管网供水费用和城市管道天然气费用的，经企业申请，实行“欠费不停供、免收滞纳金”措施，</w:t>
      </w:r>
      <w:r>
        <w:rPr>
          <w:rFonts w:hint="eastAsia" w:ascii="仿宋_GB2312" w:hAnsi="Arial" w:eastAsia="仿宋_GB2312" w:cs="Arial"/>
          <w:color w:val="333333"/>
          <w:sz w:val="32"/>
          <w:szCs w:val="32"/>
          <w:shd w:val="clear" w:color="auto" w:fill="FFFFFF"/>
          <w:lang w:val="en-US" w:eastAsia="zh-CN"/>
        </w:rPr>
        <w:t>可由企</w:t>
      </w:r>
      <w:r>
        <w:rPr>
          <w:rFonts w:hint="eastAsia" w:ascii="仿宋_GB2312" w:hAnsi="Arial" w:eastAsia="仿宋_GB2312" w:cs="Arial"/>
          <w:i w:val="0"/>
          <w:iCs w:val="0"/>
          <w:color w:val="333333"/>
          <w:sz w:val="32"/>
          <w:szCs w:val="32"/>
          <w:shd w:val="clear" w:color="auto" w:fill="FFFFFF"/>
          <w:lang w:val="en-US" w:eastAsia="zh-CN"/>
        </w:rPr>
        <w:t>业申请办理延期缴费。（市发展改革委、国网池州供电公司、市供水公司、市港华燃气公司）</w:t>
      </w:r>
    </w:p>
    <w:p>
      <w:pPr>
        <w:keepNext w:val="0"/>
        <w:keepLines w:val="0"/>
        <w:pageBreakBefore w:val="0"/>
        <w:widowControl/>
        <w:kinsoku/>
        <w:wordWrap/>
        <w:overflowPunct/>
        <w:topLinePunct w:val="0"/>
        <w:autoSpaceDE w:val="0"/>
        <w:autoSpaceDN w:val="0"/>
        <w:bidi w:val="0"/>
        <w:adjustRightInd/>
        <w:snapToGrid/>
        <w:spacing w:line="560" w:lineRule="exact"/>
        <w:ind w:firstLine="640" w:firstLineChars="200"/>
        <w:jc w:val="left"/>
        <w:textAlignment w:val="auto"/>
        <w:rPr>
          <w:rFonts w:hint="eastAsia" w:ascii="仿宋_GB2312" w:hAnsi="Arial" w:eastAsia="仿宋_GB2312" w:cs="Arial"/>
          <w:i w:val="0"/>
          <w:iCs w:val="0"/>
          <w:color w:val="333333"/>
          <w:sz w:val="32"/>
          <w:szCs w:val="32"/>
          <w:shd w:val="clear" w:color="auto" w:fill="FFFFFF"/>
          <w:lang w:val="en-US" w:eastAsia="zh-CN"/>
        </w:rPr>
      </w:pPr>
      <w:r>
        <w:rPr>
          <w:rFonts w:hint="eastAsia" w:ascii="仿宋_GB2312" w:hAnsi="Arial" w:eastAsia="仿宋_GB2312" w:cs="Arial"/>
          <w:i w:val="0"/>
          <w:iCs w:val="0"/>
          <w:color w:val="333333"/>
          <w:sz w:val="32"/>
          <w:szCs w:val="32"/>
          <w:shd w:val="clear" w:color="auto" w:fill="FFFFFF"/>
          <w:lang w:val="en-US" w:eastAsia="zh-CN"/>
        </w:rPr>
        <w:t>6.2022年延续实施阶段性下调失业保险费率、工伤保险费率政策。</w:t>
      </w:r>
      <w:r>
        <w:rPr>
          <w:rFonts w:hint="eastAsia" w:ascii="仿宋_GB2312" w:hAnsi="宋体" w:eastAsia="仿宋_GB2312" w:cs="宋体"/>
          <w:i w:val="0"/>
          <w:iCs w:val="0"/>
          <w:color w:val="000000"/>
          <w:kern w:val="0"/>
          <w:sz w:val="32"/>
          <w:szCs w:val="32"/>
        </w:rPr>
        <w:t>对符合条件的企业，可阶段性缓缴单位失业保险、工伤保险费，缓缴期间免收滞纳金；</w:t>
      </w:r>
      <w:r>
        <w:rPr>
          <w:rFonts w:hint="eastAsia" w:ascii="仿宋_GB2312" w:hAnsi="宋体" w:eastAsia="仿宋_GB2312" w:cs="宋体"/>
          <w:i w:val="0"/>
          <w:iCs w:val="0"/>
          <w:kern w:val="0"/>
          <w:sz w:val="32"/>
          <w:szCs w:val="32"/>
        </w:rPr>
        <w:t>对在疫情防控期间保持正常经营，不裁员或少裁员的企业，</w:t>
      </w:r>
      <w:r>
        <w:rPr>
          <w:rFonts w:hint="eastAsia" w:ascii="仿宋_GB2312" w:hAnsi="宋体" w:eastAsia="仿宋_GB2312" w:cs="宋体"/>
          <w:i w:val="0"/>
          <w:iCs w:val="0"/>
          <w:kern w:val="0"/>
          <w:sz w:val="32"/>
          <w:szCs w:val="32"/>
          <w:lang w:eastAsia="zh-CN"/>
        </w:rPr>
        <w:t>继续实施普惠性失业保险稳岗返还政策，其中</w:t>
      </w:r>
      <w:r>
        <w:rPr>
          <w:rFonts w:hint="eastAsia" w:ascii="仿宋_GB2312" w:hAnsi="宋体" w:eastAsia="仿宋_GB2312" w:cs="宋体"/>
          <w:i w:val="0"/>
          <w:iCs w:val="0"/>
          <w:kern w:val="0"/>
          <w:sz w:val="32"/>
          <w:szCs w:val="32"/>
          <w:lang w:val="en-US" w:eastAsia="zh-CN"/>
        </w:rPr>
        <w:t>2022年中小微企业返还比例从60%提高到90%。符合条件的服务业主体可以享受</w:t>
      </w:r>
      <w:r>
        <w:rPr>
          <w:rFonts w:ascii="仿宋_GB2312" w:hAnsi="Arial" w:eastAsia="仿宋_GB2312" w:cs="Arial"/>
          <w:i w:val="0"/>
          <w:iCs w:val="0"/>
          <w:color w:val="333333"/>
          <w:sz w:val="32"/>
          <w:szCs w:val="32"/>
          <w:shd w:val="clear" w:color="auto" w:fill="FFFFFF"/>
        </w:rPr>
        <w:t>（</w:t>
      </w:r>
      <w:r>
        <w:rPr>
          <w:rFonts w:hint="eastAsia" w:ascii="仿宋_GB2312" w:hAnsi="Arial" w:eastAsia="仿宋_GB2312" w:cs="Arial"/>
          <w:i w:val="0"/>
          <w:iCs w:val="0"/>
          <w:color w:val="333333"/>
          <w:sz w:val="32"/>
          <w:szCs w:val="32"/>
          <w:shd w:val="clear" w:color="auto" w:fill="FFFFFF"/>
          <w:lang w:val="en-US" w:eastAsia="zh-CN"/>
        </w:rPr>
        <w:t>市</w:t>
      </w:r>
      <w:r>
        <w:rPr>
          <w:rFonts w:ascii="仿宋_GB2312" w:hAnsi="Arial" w:eastAsia="仿宋_GB2312" w:cs="Arial"/>
          <w:i w:val="0"/>
          <w:iCs w:val="0"/>
          <w:color w:val="333333"/>
          <w:sz w:val="32"/>
          <w:szCs w:val="32"/>
          <w:shd w:val="clear" w:color="auto" w:fill="FFFFFF"/>
        </w:rPr>
        <w:t>人力资源社会保障</w:t>
      </w:r>
      <w:r>
        <w:rPr>
          <w:rFonts w:hint="eastAsia" w:ascii="仿宋_GB2312" w:hAnsi="Arial" w:eastAsia="仿宋_GB2312" w:cs="Arial"/>
          <w:i w:val="0"/>
          <w:iCs w:val="0"/>
          <w:color w:val="333333"/>
          <w:sz w:val="32"/>
          <w:szCs w:val="32"/>
          <w:shd w:val="clear" w:color="auto" w:fill="FFFFFF"/>
          <w:lang w:val="en-US" w:eastAsia="zh-CN"/>
        </w:rPr>
        <w:t>局、</w:t>
      </w:r>
      <w:r>
        <w:rPr>
          <w:rFonts w:hint="eastAsia" w:ascii="仿宋_GB2312" w:hAnsi="宋体" w:eastAsia="仿宋_GB2312" w:cs="宋体"/>
          <w:i w:val="0"/>
          <w:iCs w:val="0"/>
          <w:kern w:val="0"/>
          <w:sz w:val="32"/>
          <w:szCs w:val="32"/>
        </w:rPr>
        <w:t>市财政局</w:t>
      </w:r>
      <w:r>
        <w:rPr>
          <w:rFonts w:hint="eastAsia" w:ascii="仿宋_GB2312" w:hAnsi="宋体" w:eastAsia="仿宋_GB2312" w:cs="宋体"/>
          <w:i w:val="0"/>
          <w:iCs w:val="0"/>
          <w:kern w:val="0"/>
          <w:sz w:val="32"/>
          <w:szCs w:val="32"/>
          <w:lang w:eastAsia="zh-CN"/>
        </w:rPr>
        <w:t>、市税务局</w:t>
      </w:r>
      <w:r>
        <w:rPr>
          <w:rFonts w:ascii="仿宋_GB2312" w:hAnsi="Arial" w:eastAsia="仿宋_GB2312" w:cs="Arial"/>
          <w:i w:val="0"/>
          <w:iCs w:val="0"/>
          <w:color w:val="333333"/>
          <w:sz w:val="32"/>
          <w:szCs w:val="32"/>
          <w:shd w:val="clear" w:color="auto" w:fill="FFFFFF"/>
        </w:rPr>
        <w:t>）</w:t>
      </w:r>
      <w:r>
        <w:rPr>
          <w:rFonts w:hint="eastAsia" w:ascii="仿宋_GB2312" w:hAnsi="Arial" w:eastAsia="仿宋_GB2312" w:cs="Arial"/>
          <w:i w:val="0"/>
          <w:iCs w:val="0"/>
          <w:color w:val="333333"/>
          <w:sz w:val="32"/>
          <w:szCs w:val="32"/>
          <w:shd w:val="clear" w:color="auto" w:fill="FFFFFF"/>
          <w:lang w:eastAsia="zh-CN"/>
        </w:rPr>
        <w:t>。</w:t>
      </w:r>
    </w:p>
    <w:p>
      <w:pPr>
        <w:keepNext w:val="0"/>
        <w:keepLines w:val="0"/>
        <w:pageBreakBefore w:val="0"/>
        <w:kinsoku/>
        <w:wordWrap/>
        <w:overflowPunct/>
        <w:topLinePunct w:val="0"/>
        <w:autoSpaceDE w:val="0"/>
        <w:autoSpaceDN w:val="0"/>
        <w:bidi w:val="0"/>
        <w:adjustRightInd/>
        <w:snapToGrid/>
        <w:spacing w:line="560" w:lineRule="exact"/>
        <w:ind w:firstLine="640" w:firstLineChars="200"/>
        <w:textAlignment w:val="auto"/>
        <w:rPr>
          <w:rFonts w:ascii="仿宋_GB2312" w:hAnsi="Arial" w:eastAsia="仿宋_GB2312" w:cs="Arial"/>
          <w:i w:val="0"/>
          <w:iCs w:val="0"/>
          <w:color w:val="333333"/>
          <w:sz w:val="32"/>
          <w:szCs w:val="32"/>
          <w:shd w:val="clear" w:color="auto" w:fill="FFFFFF"/>
        </w:rPr>
      </w:pPr>
      <w:r>
        <w:rPr>
          <w:rFonts w:hint="eastAsia" w:ascii="仿宋_GB2312" w:hAnsi="Arial" w:eastAsia="仿宋_GB2312" w:cs="Arial"/>
          <w:i w:val="0"/>
          <w:iCs w:val="0"/>
          <w:color w:val="333333"/>
          <w:sz w:val="32"/>
          <w:szCs w:val="32"/>
          <w:shd w:val="clear" w:color="auto" w:fill="FFFFFF"/>
          <w:lang w:val="en-US" w:eastAsia="zh-CN"/>
        </w:rPr>
        <w:t>7.</w:t>
      </w:r>
      <w:r>
        <w:rPr>
          <w:rFonts w:ascii="仿宋_GB2312" w:hAnsi="Arial" w:eastAsia="仿宋_GB2312" w:cs="Arial"/>
          <w:i w:val="0"/>
          <w:iCs w:val="0"/>
          <w:color w:val="333333"/>
          <w:sz w:val="32"/>
          <w:szCs w:val="32"/>
          <w:shd w:val="clear" w:color="auto" w:fill="FFFFFF"/>
        </w:rPr>
        <w:t>对承租国有企业经营性用房或产权为行政事业单位房产的中小微企业（含服务业小微企业）、个体工商户，免收2022年4月</w:t>
      </w:r>
      <w:r>
        <w:rPr>
          <w:rFonts w:hint="eastAsia" w:ascii="仿宋_GB2312" w:hAnsi="Arial" w:eastAsia="仿宋_GB2312" w:cs="Arial"/>
          <w:i w:val="0"/>
          <w:iCs w:val="0"/>
          <w:color w:val="333333"/>
          <w:sz w:val="32"/>
          <w:szCs w:val="32"/>
          <w:shd w:val="clear" w:color="auto" w:fill="FFFFFF"/>
          <w:lang w:val="en-US" w:eastAsia="zh-CN"/>
        </w:rPr>
        <w:t>-6月</w:t>
      </w:r>
      <w:r>
        <w:rPr>
          <w:rFonts w:ascii="仿宋_GB2312" w:hAnsi="Arial" w:eastAsia="仿宋_GB2312" w:cs="Arial"/>
          <w:i w:val="0"/>
          <w:iCs w:val="0"/>
          <w:color w:val="333333"/>
          <w:sz w:val="32"/>
          <w:szCs w:val="32"/>
          <w:shd w:val="clear" w:color="auto" w:fill="FFFFFF"/>
        </w:rPr>
        <w:t>房屋租金，转租、分租的免收房屋租金须落实到最终承租人。对2022年</w:t>
      </w:r>
      <w:r>
        <w:rPr>
          <w:rFonts w:hint="eastAsia" w:ascii="仿宋_GB2312" w:hAnsi="Arial" w:eastAsia="仿宋_GB2312" w:cs="Arial"/>
          <w:i w:val="0"/>
          <w:iCs w:val="0"/>
          <w:color w:val="333333"/>
          <w:sz w:val="32"/>
          <w:szCs w:val="32"/>
          <w:shd w:val="clear" w:color="auto" w:fill="FFFFFF"/>
          <w:lang w:eastAsia="zh-CN"/>
        </w:rPr>
        <w:t>市</w:t>
      </w:r>
      <w:r>
        <w:rPr>
          <w:rFonts w:ascii="仿宋_GB2312" w:hAnsi="Arial" w:eastAsia="仿宋_GB2312" w:cs="Arial"/>
          <w:i w:val="0"/>
          <w:iCs w:val="0"/>
          <w:color w:val="333333"/>
          <w:sz w:val="32"/>
          <w:szCs w:val="32"/>
          <w:shd w:val="clear" w:color="auto" w:fill="FFFFFF"/>
        </w:rPr>
        <w:t>属企业落实国家及省相关政策，免收的中小微企业、个体工商户房租，在业绩考核和工资总额管理中视同利润处理。（</w:t>
      </w:r>
      <w:r>
        <w:rPr>
          <w:rFonts w:hint="eastAsia" w:ascii="仿宋_GB2312" w:hAnsi="Arial" w:eastAsia="仿宋_GB2312" w:cs="Arial"/>
          <w:i w:val="0"/>
          <w:iCs w:val="0"/>
          <w:color w:val="333333"/>
          <w:sz w:val="32"/>
          <w:szCs w:val="32"/>
          <w:shd w:val="clear" w:color="auto" w:fill="FFFFFF"/>
          <w:lang w:val="en-US" w:eastAsia="zh-CN"/>
        </w:rPr>
        <w:t>市财政局、市国资委</w:t>
      </w:r>
      <w:r>
        <w:rPr>
          <w:rFonts w:ascii="仿宋_GB2312" w:hAnsi="Arial" w:eastAsia="仿宋_GB2312" w:cs="Arial"/>
          <w:i w:val="0"/>
          <w:iCs w:val="0"/>
          <w:color w:val="333333"/>
          <w:sz w:val="32"/>
          <w:szCs w:val="32"/>
          <w:shd w:val="clear" w:color="auto" w:fill="FFFFFF"/>
        </w:rPr>
        <w:t>）</w:t>
      </w:r>
    </w:p>
    <w:p>
      <w:pPr>
        <w:keepNext w:val="0"/>
        <w:keepLines w:val="0"/>
        <w:pageBreakBefore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eastAsia="仿宋_GB2312"/>
          <w:i w:val="0"/>
          <w:iCs w:val="0"/>
          <w:color w:val="000000"/>
          <w:kern w:val="0"/>
          <w:sz w:val="32"/>
          <w:szCs w:val="32"/>
        </w:rPr>
      </w:pPr>
      <w:r>
        <w:rPr>
          <w:rFonts w:hint="eastAsia" w:ascii="仿宋_GB2312" w:hAnsi="Arial" w:eastAsia="仿宋_GB2312" w:cs="Arial"/>
          <w:i w:val="0"/>
          <w:iCs w:val="0"/>
          <w:color w:val="333333"/>
          <w:sz w:val="32"/>
          <w:szCs w:val="32"/>
          <w:shd w:val="clear" w:color="auto" w:fill="FFFFFF"/>
          <w:lang w:val="en-US" w:eastAsia="zh-CN"/>
        </w:rPr>
        <w:t>8</w:t>
      </w:r>
      <w:r>
        <w:rPr>
          <w:rFonts w:ascii="仿宋_GB2312" w:hAnsi="Arial" w:eastAsia="仿宋_GB2312" w:cs="Arial"/>
          <w:i w:val="0"/>
          <w:iCs w:val="0"/>
          <w:color w:val="333333"/>
          <w:sz w:val="32"/>
          <w:szCs w:val="32"/>
          <w:shd w:val="clear" w:color="auto" w:fill="FFFFFF"/>
        </w:rPr>
        <w:t>．</w:t>
      </w:r>
      <w:r>
        <w:rPr>
          <w:rFonts w:hint="eastAsia" w:ascii="仿宋_GB2312" w:hAnsi="Arial" w:eastAsia="仿宋_GB2312" w:cs="Arial"/>
          <w:i w:val="0"/>
          <w:iCs w:val="0"/>
          <w:color w:val="333333"/>
          <w:sz w:val="32"/>
          <w:szCs w:val="32"/>
          <w:shd w:val="clear" w:color="auto" w:fill="FFFFFF"/>
          <w:lang w:val="en-US" w:eastAsia="zh-CN"/>
        </w:rPr>
        <w:t>企业防疫、消杀支持补贴。</w:t>
      </w:r>
      <w:r>
        <w:rPr>
          <w:rFonts w:hint="eastAsia" w:ascii="仿宋_GB2312" w:hAnsi="宋体" w:eastAsia="仿宋_GB2312" w:cs="宋体"/>
          <w:i w:val="0"/>
          <w:iCs w:val="0"/>
          <w:color w:val="000000"/>
          <w:kern w:val="0"/>
          <w:sz w:val="32"/>
          <w:szCs w:val="32"/>
        </w:rPr>
        <w:t>对限上（规上）</w:t>
      </w:r>
      <w:r>
        <w:rPr>
          <w:rFonts w:hint="eastAsia" w:ascii="仿宋_GB2312" w:hAnsi="宋体" w:eastAsia="仿宋_GB2312" w:cs="宋体"/>
          <w:i w:val="0"/>
          <w:iCs w:val="0"/>
          <w:color w:val="000000"/>
          <w:kern w:val="0"/>
          <w:sz w:val="32"/>
          <w:szCs w:val="32"/>
          <w:lang w:eastAsia="zh-CN"/>
        </w:rPr>
        <w:t>服务业</w:t>
      </w:r>
      <w:r>
        <w:rPr>
          <w:rFonts w:hint="eastAsia" w:ascii="仿宋_GB2312" w:hAnsi="宋体" w:eastAsia="仿宋_GB2312" w:cs="宋体"/>
          <w:i w:val="0"/>
          <w:iCs w:val="0"/>
          <w:color w:val="000000"/>
          <w:kern w:val="0"/>
          <w:sz w:val="32"/>
          <w:szCs w:val="32"/>
        </w:rPr>
        <w:t>企业购买口罩、消毒液、体温计等防护用品达到5万元的，按30%给予一次性补贴，单个企业补贴不超过10万元。对企业员工定期免费开展核酸检测。（责任单位：市财政局、市卫健委、市</w:t>
      </w:r>
      <w:r>
        <w:rPr>
          <w:rFonts w:hint="eastAsia" w:ascii="仿宋_GB2312" w:hAnsi="宋体" w:eastAsia="仿宋_GB2312" w:cs="宋体"/>
          <w:i w:val="0"/>
          <w:iCs w:val="0"/>
          <w:color w:val="000000"/>
          <w:kern w:val="0"/>
          <w:sz w:val="32"/>
          <w:szCs w:val="32"/>
          <w:lang w:eastAsia="zh-CN"/>
        </w:rPr>
        <w:t>相关行业主管部门</w:t>
      </w:r>
      <w:r>
        <w:rPr>
          <w:rFonts w:hint="eastAsia" w:ascii="仿宋_GB2312" w:hAnsi="宋体" w:eastAsia="仿宋_GB2312" w:cs="宋体"/>
          <w:i w:val="0"/>
          <w:iCs w:val="0"/>
          <w:color w:val="000000"/>
          <w:kern w:val="0"/>
          <w:sz w:val="32"/>
          <w:szCs w:val="32"/>
        </w:rPr>
        <w:t>）</w:t>
      </w:r>
      <w:r>
        <w:rPr>
          <w:rFonts w:hint="eastAsia" w:ascii="仿宋_GB2312" w:hAnsi="宋体" w:eastAsia="仿宋_GB2312" w:cs="宋体"/>
          <w:i w:val="0"/>
          <w:iCs w:val="0"/>
          <w:color w:val="000000"/>
          <w:kern w:val="0"/>
          <w:sz w:val="32"/>
          <w:szCs w:val="32"/>
          <w:lang w:eastAsia="zh-CN"/>
        </w:rPr>
        <w:t>。</w:t>
      </w:r>
      <w:r>
        <w:rPr>
          <w:rFonts w:hint="eastAsia" w:ascii="仿宋_GB2312" w:hAnsi="宋体" w:eastAsia="仿宋_GB2312" w:cs="宋体"/>
          <w:i w:val="0"/>
          <w:iCs w:val="0"/>
          <w:color w:val="000000"/>
          <w:kern w:val="0"/>
          <w:sz w:val="32"/>
          <w:szCs w:val="32"/>
        </w:rPr>
        <w:t xml:space="preserve"> </w:t>
      </w:r>
    </w:p>
    <w:p>
      <w:pPr>
        <w:keepNext w:val="0"/>
        <w:keepLines w:val="0"/>
        <w:pageBreakBefore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Arial" w:eastAsia="仿宋_GB2312" w:cs="Arial"/>
          <w:i w:val="0"/>
          <w:iCs w:val="0"/>
          <w:color w:val="333333"/>
          <w:sz w:val="32"/>
          <w:szCs w:val="32"/>
          <w:shd w:val="clear" w:color="auto" w:fill="FFFFFF"/>
          <w:lang w:val="en-US" w:eastAsia="zh-CN"/>
        </w:rPr>
      </w:pPr>
      <w:r>
        <w:rPr>
          <w:rFonts w:hint="eastAsia" w:ascii="仿宋_GB2312" w:hAnsi="Arial" w:eastAsia="仿宋_GB2312" w:cs="Arial"/>
          <w:i w:val="0"/>
          <w:iCs w:val="0"/>
          <w:color w:val="333333"/>
          <w:sz w:val="32"/>
          <w:szCs w:val="32"/>
          <w:shd w:val="clear" w:color="auto" w:fill="FFFFFF"/>
          <w:lang w:val="en-US" w:eastAsia="zh-CN"/>
        </w:rPr>
        <w:t>9.加大政府性融资担保支持力度。</w:t>
      </w:r>
      <w:r>
        <w:rPr>
          <w:rFonts w:ascii="仿宋_GB2312" w:hAnsi="Arial" w:eastAsia="仿宋_GB2312" w:cs="Arial"/>
          <w:i w:val="0"/>
          <w:iCs w:val="0"/>
          <w:color w:val="333333"/>
          <w:sz w:val="32"/>
          <w:szCs w:val="32"/>
          <w:shd w:val="clear" w:color="auto" w:fill="FFFFFF"/>
        </w:rPr>
        <w:t>鼓励政府性融资担保机构为</w:t>
      </w:r>
      <w:r>
        <w:rPr>
          <w:rFonts w:hint="eastAsia" w:ascii="仿宋_GB2312" w:hAnsi="Arial" w:eastAsia="仿宋_GB2312" w:cs="Arial"/>
          <w:i w:val="0"/>
          <w:iCs w:val="0"/>
          <w:color w:val="333333"/>
          <w:sz w:val="32"/>
          <w:szCs w:val="32"/>
          <w:shd w:val="clear" w:color="auto" w:fill="FFFFFF"/>
          <w:lang w:eastAsia="zh-CN"/>
        </w:rPr>
        <w:t>服务</w:t>
      </w:r>
      <w:r>
        <w:rPr>
          <w:rFonts w:ascii="仿宋_GB2312" w:hAnsi="Arial" w:eastAsia="仿宋_GB2312" w:cs="Arial"/>
          <w:i w:val="0"/>
          <w:iCs w:val="0"/>
          <w:color w:val="333333"/>
          <w:sz w:val="32"/>
          <w:szCs w:val="32"/>
          <w:shd w:val="clear" w:color="auto" w:fill="FFFFFF"/>
        </w:rPr>
        <w:t>业中小微企业提供融资增信支持，依法依约及时履行代偿责任，积极帮助受疫情影响企业续保续贷。对单户担保金额1000万元及以下的小微企业和“三农”主体平均担保费率保持在1%以下。（</w:t>
      </w:r>
      <w:r>
        <w:rPr>
          <w:rFonts w:hint="eastAsia" w:ascii="仿宋_GB2312" w:hAnsi="Arial" w:eastAsia="仿宋_GB2312" w:cs="Arial"/>
          <w:i w:val="0"/>
          <w:iCs w:val="0"/>
          <w:color w:val="333333"/>
          <w:sz w:val="32"/>
          <w:szCs w:val="32"/>
          <w:shd w:val="clear" w:color="auto" w:fill="FFFFFF"/>
          <w:lang w:eastAsia="zh-CN"/>
        </w:rPr>
        <w:t>市</w:t>
      </w:r>
      <w:r>
        <w:rPr>
          <w:rFonts w:ascii="仿宋_GB2312" w:hAnsi="Arial" w:eastAsia="仿宋_GB2312" w:cs="Arial"/>
          <w:i w:val="0"/>
          <w:iCs w:val="0"/>
          <w:color w:val="333333"/>
          <w:sz w:val="32"/>
          <w:szCs w:val="32"/>
          <w:shd w:val="clear" w:color="auto" w:fill="FFFFFF"/>
        </w:rPr>
        <w:t>地方金融监管局</w:t>
      </w:r>
      <w:r>
        <w:rPr>
          <w:rFonts w:hint="eastAsia" w:ascii="仿宋_GB2312" w:hAnsi="Arial" w:eastAsia="仿宋_GB2312" w:cs="Arial"/>
          <w:i w:val="0"/>
          <w:iCs w:val="0"/>
          <w:color w:val="333333"/>
          <w:sz w:val="32"/>
          <w:szCs w:val="32"/>
          <w:shd w:val="clear" w:color="auto" w:fill="FFFFFF"/>
          <w:lang w:eastAsia="zh-CN"/>
        </w:rPr>
        <w:t>、市国资委、</w:t>
      </w:r>
      <w:r>
        <w:rPr>
          <w:rFonts w:ascii="仿宋_GB2312" w:hAnsi="Arial" w:eastAsia="仿宋_GB2312" w:cs="Arial"/>
          <w:i w:val="0"/>
          <w:iCs w:val="0"/>
          <w:color w:val="333333"/>
          <w:sz w:val="32"/>
          <w:szCs w:val="32"/>
          <w:shd w:val="clear" w:color="auto" w:fill="FFFFFF"/>
        </w:rPr>
        <w:t>人行</w:t>
      </w:r>
      <w:r>
        <w:rPr>
          <w:rFonts w:hint="eastAsia" w:ascii="仿宋_GB2312" w:hAnsi="Arial" w:eastAsia="仿宋_GB2312" w:cs="Arial"/>
          <w:i w:val="0"/>
          <w:iCs w:val="0"/>
          <w:color w:val="333333"/>
          <w:sz w:val="32"/>
          <w:szCs w:val="32"/>
          <w:shd w:val="clear" w:color="auto" w:fill="FFFFFF"/>
          <w:lang w:eastAsia="zh-CN"/>
        </w:rPr>
        <w:t>池州市</w:t>
      </w:r>
      <w:r>
        <w:rPr>
          <w:rFonts w:ascii="仿宋_GB2312" w:hAnsi="Arial" w:eastAsia="仿宋_GB2312" w:cs="Arial"/>
          <w:i w:val="0"/>
          <w:iCs w:val="0"/>
          <w:color w:val="333333"/>
          <w:sz w:val="32"/>
          <w:szCs w:val="32"/>
          <w:shd w:val="clear" w:color="auto" w:fill="FFFFFF"/>
        </w:rPr>
        <w:t>中心支行、</w:t>
      </w:r>
      <w:r>
        <w:rPr>
          <w:rFonts w:hint="eastAsia" w:ascii="仿宋_GB2312" w:hAnsi="Arial" w:eastAsia="仿宋_GB2312" w:cs="Arial"/>
          <w:i w:val="0"/>
          <w:iCs w:val="0"/>
          <w:color w:val="333333"/>
          <w:sz w:val="32"/>
          <w:szCs w:val="32"/>
          <w:shd w:val="clear" w:color="auto" w:fill="FFFFFF"/>
          <w:lang w:eastAsia="zh-CN"/>
        </w:rPr>
        <w:t>池州</w:t>
      </w:r>
      <w:r>
        <w:rPr>
          <w:rFonts w:ascii="仿宋_GB2312" w:hAnsi="Arial" w:eastAsia="仿宋_GB2312" w:cs="Arial"/>
          <w:i w:val="0"/>
          <w:iCs w:val="0"/>
          <w:color w:val="333333"/>
          <w:sz w:val="32"/>
          <w:szCs w:val="32"/>
          <w:shd w:val="clear" w:color="auto" w:fill="FFFFFF"/>
        </w:rPr>
        <w:t>银保监</w:t>
      </w:r>
      <w:r>
        <w:rPr>
          <w:rFonts w:hint="eastAsia" w:ascii="仿宋_GB2312" w:hAnsi="Arial" w:eastAsia="仿宋_GB2312" w:cs="Arial"/>
          <w:i w:val="0"/>
          <w:iCs w:val="0"/>
          <w:color w:val="333333"/>
          <w:sz w:val="32"/>
          <w:szCs w:val="32"/>
          <w:shd w:val="clear" w:color="auto" w:fill="FFFFFF"/>
          <w:lang w:eastAsia="zh-CN"/>
        </w:rPr>
        <w:t>分</w:t>
      </w:r>
      <w:r>
        <w:rPr>
          <w:rFonts w:ascii="仿宋_GB2312" w:hAnsi="Arial" w:eastAsia="仿宋_GB2312" w:cs="Arial"/>
          <w:i w:val="0"/>
          <w:iCs w:val="0"/>
          <w:color w:val="333333"/>
          <w:sz w:val="32"/>
          <w:szCs w:val="32"/>
          <w:shd w:val="clear" w:color="auto" w:fill="FFFFFF"/>
        </w:rPr>
        <w:t>局</w:t>
      </w:r>
      <w:r>
        <w:rPr>
          <w:rFonts w:hint="eastAsia" w:ascii="仿宋_GB2312" w:hAnsi="Arial" w:eastAsia="仿宋_GB2312" w:cs="Arial"/>
          <w:i w:val="0"/>
          <w:iCs w:val="0"/>
          <w:color w:val="333333"/>
          <w:sz w:val="32"/>
          <w:szCs w:val="32"/>
          <w:shd w:val="clear" w:color="auto" w:fill="FFFFFF"/>
          <w:lang w:eastAsia="zh-CN"/>
        </w:rPr>
        <w:t>、</w:t>
      </w:r>
      <w:r>
        <w:rPr>
          <w:rFonts w:hint="eastAsia" w:ascii="仿宋_GB2312" w:hAnsi="Arial" w:eastAsia="仿宋_GB2312" w:cs="Arial"/>
          <w:i w:val="0"/>
          <w:iCs w:val="0"/>
          <w:color w:val="333333"/>
          <w:sz w:val="32"/>
          <w:szCs w:val="32"/>
          <w:shd w:val="clear" w:color="auto" w:fill="FFFFFF"/>
          <w:lang w:val="en-US" w:eastAsia="zh-CN"/>
        </w:rPr>
        <w:t>各县区人民政府</w:t>
      </w:r>
      <w:r>
        <w:rPr>
          <w:rFonts w:hint="eastAsia" w:ascii="仿宋_GB2312" w:hAnsi="Arial" w:eastAsia="仿宋_GB2312" w:cs="Arial"/>
          <w:i w:val="0"/>
          <w:iCs w:val="0"/>
          <w:color w:val="333333"/>
          <w:sz w:val="32"/>
          <w:szCs w:val="32"/>
          <w:shd w:val="clear" w:color="auto" w:fill="FFFFFF"/>
          <w:lang w:eastAsia="zh-CN"/>
        </w:rPr>
        <w:t>）</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Arial" w:eastAsia="仿宋_GB2312" w:cs="Arial"/>
          <w:i w:val="0"/>
          <w:iCs w:val="0"/>
          <w:color w:val="333333"/>
          <w:sz w:val="32"/>
          <w:szCs w:val="32"/>
          <w:shd w:val="clear" w:color="auto" w:fill="FFFFFF"/>
        </w:rPr>
      </w:pPr>
      <w:r>
        <w:rPr>
          <w:rFonts w:hint="eastAsia" w:ascii="仿宋_GB2312" w:hAnsi="Arial" w:eastAsia="仿宋_GB2312" w:cs="Arial"/>
          <w:i w:val="0"/>
          <w:iCs w:val="0"/>
          <w:color w:val="333333"/>
          <w:sz w:val="32"/>
          <w:szCs w:val="32"/>
          <w:shd w:val="clear" w:color="auto" w:fill="FFFFFF"/>
          <w:lang w:val="en-US" w:eastAsia="zh-CN"/>
        </w:rPr>
        <w:t>10.</w:t>
      </w:r>
      <w:r>
        <w:rPr>
          <w:rFonts w:ascii="仿宋_GB2312" w:hAnsi="Arial" w:eastAsia="仿宋_GB2312" w:cs="Arial"/>
          <w:i w:val="0"/>
          <w:iCs w:val="0"/>
          <w:color w:val="333333"/>
          <w:sz w:val="32"/>
          <w:szCs w:val="32"/>
          <w:shd w:val="clear" w:color="auto" w:fill="FFFFFF"/>
        </w:rPr>
        <w:t>2022年对符合条件的法人银行机构发放的普惠小微企业和个体工商户贷款，落实按余额增量的1%提供资金，加大对困难行业特别是服务业领域的倾斜力度。（人行</w:t>
      </w:r>
      <w:r>
        <w:rPr>
          <w:rFonts w:hint="eastAsia" w:ascii="仿宋_GB2312" w:hAnsi="Arial" w:eastAsia="仿宋_GB2312" w:cs="Arial"/>
          <w:i w:val="0"/>
          <w:iCs w:val="0"/>
          <w:color w:val="333333"/>
          <w:sz w:val="32"/>
          <w:szCs w:val="32"/>
          <w:shd w:val="clear" w:color="auto" w:fill="FFFFFF"/>
          <w:lang w:val="en-US" w:eastAsia="zh-CN"/>
        </w:rPr>
        <w:t>池州市</w:t>
      </w:r>
      <w:r>
        <w:rPr>
          <w:rFonts w:ascii="仿宋_GB2312" w:hAnsi="Arial" w:eastAsia="仿宋_GB2312" w:cs="Arial"/>
          <w:i w:val="0"/>
          <w:iCs w:val="0"/>
          <w:color w:val="333333"/>
          <w:sz w:val="32"/>
          <w:szCs w:val="32"/>
          <w:shd w:val="clear" w:color="auto" w:fill="FFFFFF"/>
        </w:rPr>
        <w:t>中心支行</w:t>
      </w:r>
      <w:r>
        <w:rPr>
          <w:rFonts w:hint="eastAsia" w:ascii="仿宋_GB2312" w:hAnsi="Arial" w:eastAsia="仿宋_GB2312" w:cs="Arial"/>
          <w:i w:val="0"/>
          <w:iCs w:val="0"/>
          <w:color w:val="333333"/>
          <w:sz w:val="32"/>
          <w:szCs w:val="32"/>
          <w:shd w:val="clear" w:color="auto" w:fill="FFFFFF"/>
          <w:lang w:eastAsia="zh-CN"/>
        </w:rPr>
        <w:t>、</w:t>
      </w:r>
      <w:r>
        <w:rPr>
          <w:rFonts w:hint="eastAsia" w:ascii="仿宋_GB2312" w:hAnsi="Arial" w:eastAsia="仿宋_GB2312" w:cs="Arial"/>
          <w:i w:val="0"/>
          <w:iCs w:val="0"/>
          <w:color w:val="333333"/>
          <w:sz w:val="32"/>
          <w:szCs w:val="32"/>
          <w:shd w:val="clear" w:color="auto" w:fill="FFFFFF"/>
          <w:lang w:val="en-US" w:eastAsia="zh-CN"/>
        </w:rPr>
        <w:t>池州</w:t>
      </w:r>
      <w:r>
        <w:rPr>
          <w:rFonts w:ascii="仿宋_GB2312" w:hAnsi="Arial" w:eastAsia="仿宋_GB2312" w:cs="Arial"/>
          <w:i w:val="0"/>
          <w:iCs w:val="0"/>
          <w:color w:val="333333"/>
          <w:sz w:val="32"/>
          <w:szCs w:val="32"/>
          <w:shd w:val="clear" w:color="auto" w:fill="FFFFFF"/>
        </w:rPr>
        <w:t>银保监</w:t>
      </w:r>
      <w:r>
        <w:rPr>
          <w:rFonts w:hint="eastAsia" w:ascii="仿宋_GB2312" w:hAnsi="Arial" w:eastAsia="仿宋_GB2312" w:cs="Arial"/>
          <w:i w:val="0"/>
          <w:iCs w:val="0"/>
          <w:color w:val="333333"/>
          <w:sz w:val="32"/>
          <w:szCs w:val="32"/>
          <w:shd w:val="clear" w:color="auto" w:fill="FFFFFF"/>
          <w:lang w:val="en-US" w:eastAsia="zh-CN"/>
        </w:rPr>
        <w:t>分</w:t>
      </w:r>
      <w:r>
        <w:rPr>
          <w:rFonts w:ascii="仿宋_GB2312" w:hAnsi="Arial" w:eastAsia="仿宋_GB2312" w:cs="Arial"/>
          <w:i w:val="0"/>
          <w:iCs w:val="0"/>
          <w:color w:val="333333"/>
          <w:sz w:val="32"/>
          <w:szCs w:val="32"/>
          <w:shd w:val="clear" w:color="auto" w:fill="FFFFFF"/>
        </w:rPr>
        <w:t>局、</w:t>
      </w:r>
      <w:r>
        <w:rPr>
          <w:rFonts w:hint="eastAsia" w:ascii="仿宋_GB2312" w:hAnsi="Arial" w:eastAsia="仿宋_GB2312" w:cs="Arial"/>
          <w:i w:val="0"/>
          <w:iCs w:val="0"/>
          <w:color w:val="333333"/>
          <w:sz w:val="32"/>
          <w:szCs w:val="32"/>
          <w:shd w:val="clear" w:color="auto" w:fill="FFFFFF"/>
          <w:lang w:val="en-US" w:eastAsia="zh-CN"/>
        </w:rPr>
        <w:t>市</w:t>
      </w:r>
      <w:r>
        <w:rPr>
          <w:rFonts w:ascii="仿宋_GB2312" w:hAnsi="Arial" w:eastAsia="仿宋_GB2312" w:cs="Arial"/>
          <w:i w:val="0"/>
          <w:iCs w:val="0"/>
          <w:color w:val="333333"/>
          <w:sz w:val="32"/>
          <w:szCs w:val="32"/>
          <w:shd w:val="clear" w:color="auto" w:fill="FFFFFF"/>
        </w:rPr>
        <w:t>地方金融监管局）</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lang w:val="en-US" w:eastAsia="zh-CN"/>
        </w:rPr>
        <w:t>11.</w:t>
      </w:r>
      <w:r>
        <w:rPr>
          <w:rFonts w:ascii="仿宋_GB2312" w:hAnsi="Arial" w:eastAsia="仿宋_GB2312" w:cs="Arial"/>
          <w:color w:val="333333"/>
          <w:sz w:val="32"/>
          <w:szCs w:val="32"/>
          <w:shd w:val="clear" w:color="auto" w:fill="FFFFFF"/>
        </w:rPr>
        <w:t>2022年推动银行机构运用市中小</w:t>
      </w:r>
      <w:r>
        <w:rPr>
          <w:rFonts w:hint="eastAsia" w:ascii="仿宋_GB2312" w:hAnsi="Arial" w:eastAsia="仿宋_GB2312" w:cs="Arial"/>
          <w:color w:val="333333"/>
          <w:sz w:val="32"/>
          <w:szCs w:val="32"/>
          <w:shd w:val="clear" w:color="auto" w:fill="FFFFFF"/>
          <w:lang w:eastAsia="zh-CN"/>
        </w:rPr>
        <w:t>微</w:t>
      </w:r>
      <w:r>
        <w:rPr>
          <w:rFonts w:ascii="仿宋_GB2312" w:hAnsi="Arial" w:eastAsia="仿宋_GB2312" w:cs="Arial"/>
          <w:color w:val="333333"/>
          <w:sz w:val="32"/>
          <w:szCs w:val="32"/>
          <w:shd w:val="clear" w:color="auto" w:fill="FFFFFF"/>
        </w:rPr>
        <w:t>企业</w:t>
      </w:r>
      <w:r>
        <w:rPr>
          <w:rFonts w:hint="eastAsia" w:ascii="仿宋_GB2312" w:hAnsi="Arial" w:eastAsia="仿宋_GB2312" w:cs="Arial"/>
          <w:color w:val="333333"/>
          <w:sz w:val="32"/>
          <w:szCs w:val="32"/>
          <w:shd w:val="clear" w:color="auto" w:fill="FFFFFF"/>
          <w:lang w:eastAsia="zh-CN"/>
        </w:rPr>
        <w:t>综合金融服务</w:t>
      </w:r>
      <w:r>
        <w:rPr>
          <w:rFonts w:ascii="仿宋_GB2312" w:hAnsi="Arial" w:eastAsia="仿宋_GB2312" w:cs="Arial"/>
          <w:color w:val="333333"/>
          <w:sz w:val="32"/>
          <w:szCs w:val="32"/>
          <w:shd w:val="clear" w:color="auto" w:fill="FFFFFF"/>
        </w:rPr>
        <w:t>服务平台</w:t>
      </w:r>
      <w:r>
        <w:rPr>
          <w:rFonts w:hint="eastAsia" w:ascii="仿宋_GB2312" w:hAnsi="Arial" w:eastAsia="仿宋_GB2312" w:cs="Arial"/>
          <w:color w:val="333333"/>
          <w:sz w:val="32"/>
          <w:szCs w:val="32"/>
          <w:shd w:val="clear" w:color="auto" w:fill="FFFFFF"/>
          <w:lang w:eastAsia="zh-CN"/>
        </w:rPr>
        <w:t>归集</w:t>
      </w:r>
      <w:r>
        <w:rPr>
          <w:rFonts w:ascii="仿宋_GB2312" w:hAnsi="Arial" w:eastAsia="仿宋_GB2312" w:cs="Arial"/>
          <w:color w:val="333333"/>
          <w:sz w:val="32"/>
          <w:szCs w:val="32"/>
          <w:shd w:val="clear" w:color="auto" w:fill="FFFFFF"/>
        </w:rPr>
        <w:t>纳税、用水、用电等涉企信息，运用支农支小再贷款再贴现等货币政策工具</w:t>
      </w:r>
      <w:r>
        <w:rPr>
          <w:rFonts w:hint="eastAsia" w:ascii="仿宋_GB2312" w:hAnsi="Arial" w:eastAsia="仿宋_GB2312" w:cs="Arial"/>
          <w:color w:val="333333"/>
          <w:sz w:val="32"/>
          <w:szCs w:val="32"/>
          <w:shd w:val="clear" w:color="auto" w:fill="FFFFFF"/>
          <w:lang w:eastAsia="zh-CN"/>
        </w:rPr>
        <w:t>，</w:t>
      </w:r>
      <w:r>
        <w:rPr>
          <w:rFonts w:ascii="仿宋_GB2312" w:hAnsi="Arial" w:eastAsia="仿宋_GB2312" w:cs="Arial"/>
          <w:color w:val="333333"/>
          <w:sz w:val="32"/>
          <w:szCs w:val="32"/>
          <w:shd w:val="clear" w:color="auto" w:fill="FFFFFF"/>
        </w:rPr>
        <w:t>优先支持困难行业特别是服务业小微企业和民营企业，提高信用贷款、无还本续贷和首贷户比重。持续开展“税融通”贷款业务，力争2022年“税融通”业务累计投放</w:t>
      </w:r>
      <w:r>
        <w:rPr>
          <w:rFonts w:hint="eastAsia" w:ascii="仿宋_GB2312" w:hAnsi="Arial" w:eastAsia="仿宋_GB2312" w:cs="Arial"/>
          <w:color w:val="333333"/>
          <w:sz w:val="32"/>
          <w:szCs w:val="32"/>
          <w:shd w:val="clear" w:color="auto" w:fill="FFFFFF"/>
          <w:lang w:val="en-US" w:eastAsia="zh-CN"/>
        </w:rPr>
        <w:t>30</w:t>
      </w:r>
      <w:r>
        <w:rPr>
          <w:rFonts w:ascii="仿宋_GB2312" w:hAnsi="Arial" w:eastAsia="仿宋_GB2312" w:cs="Arial"/>
          <w:color w:val="333333"/>
          <w:sz w:val="32"/>
          <w:szCs w:val="32"/>
          <w:shd w:val="clear" w:color="auto" w:fill="FFFFFF"/>
        </w:rPr>
        <w:t>亿元以上。（人行</w:t>
      </w:r>
      <w:r>
        <w:rPr>
          <w:rFonts w:hint="eastAsia" w:ascii="仿宋_GB2312" w:hAnsi="Arial" w:eastAsia="仿宋_GB2312" w:cs="Arial"/>
          <w:color w:val="333333"/>
          <w:sz w:val="32"/>
          <w:szCs w:val="32"/>
          <w:shd w:val="clear" w:color="auto" w:fill="FFFFFF"/>
          <w:lang w:eastAsia="zh-CN"/>
        </w:rPr>
        <w:t>池州市</w:t>
      </w:r>
      <w:r>
        <w:rPr>
          <w:rFonts w:ascii="仿宋_GB2312" w:hAnsi="Arial" w:eastAsia="仿宋_GB2312" w:cs="Arial"/>
          <w:color w:val="333333"/>
          <w:sz w:val="32"/>
          <w:szCs w:val="32"/>
          <w:shd w:val="clear" w:color="auto" w:fill="FFFFFF"/>
        </w:rPr>
        <w:t>中心支行</w:t>
      </w:r>
      <w:r>
        <w:rPr>
          <w:rFonts w:hint="eastAsia" w:ascii="仿宋_GB2312" w:hAnsi="Arial" w:eastAsia="仿宋_GB2312" w:cs="Arial"/>
          <w:color w:val="333333"/>
          <w:sz w:val="32"/>
          <w:szCs w:val="32"/>
          <w:shd w:val="clear" w:color="auto" w:fill="FFFFFF"/>
          <w:lang w:eastAsia="zh-CN"/>
        </w:rPr>
        <w:t>、池州</w:t>
      </w:r>
      <w:r>
        <w:rPr>
          <w:rFonts w:ascii="仿宋_GB2312" w:hAnsi="Arial" w:eastAsia="仿宋_GB2312" w:cs="Arial"/>
          <w:color w:val="333333"/>
          <w:sz w:val="32"/>
          <w:szCs w:val="32"/>
          <w:shd w:val="clear" w:color="auto" w:fill="FFFFFF"/>
        </w:rPr>
        <w:t>银保监局、</w:t>
      </w:r>
      <w:r>
        <w:rPr>
          <w:rFonts w:hint="eastAsia" w:ascii="仿宋_GB2312" w:hAnsi="Arial" w:eastAsia="仿宋_GB2312" w:cs="Arial"/>
          <w:color w:val="333333"/>
          <w:sz w:val="32"/>
          <w:szCs w:val="32"/>
          <w:shd w:val="clear" w:color="auto" w:fill="FFFFFF"/>
          <w:lang w:eastAsia="zh-CN"/>
        </w:rPr>
        <w:t>市地方金融监管局、市</w:t>
      </w:r>
      <w:r>
        <w:rPr>
          <w:rFonts w:ascii="仿宋_GB2312" w:hAnsi="Arial" w:eastAsia="仿宋_GB2312" w:cs="Arial"/>
          <w:color w:val="333333"/>
          <w:sz w:val="32"/>
          <w:szCs w:val="32"/>
          <w:shd w:val="clear" w:color="auto" w:fill="FFFFFF"/>
        </w:rPr>
        <w:t>发展改革委）</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lang w:val="en-US" w:eastAsia="zh-CN"/>
        </w:rPr>
        <w:t>12.</w:t>
      </w:r>
      <w:r>
        <w:rPr>
          <w:rFonts w:ascii="仿宋_GB2312" w:hAnsi="Arial" w:eastAsia="仿宋_GB2312" w:cs="Arial"/>
          <w:color w:val="333333"/>
          <w:sz w:val="32"/>
          <w:szCs w:val="32"/>
          <w:shd w:val="clear" w:color="auto" w:fill="FFFFFF"/>
        </w:rPr>
        <w:t>鼓励应收账款、订单、仓单、存货质押</w:t>
      </w:r>
      <w:r>
        <w:rPr>
          <w:rFonts w:hint="eastAsia" w:ascii="仿宋_GB2312" w:hAnsi="Arial" w:eastAsia="仿宋_GB2312" w:cs="Arial"/>
          <w:color w:val="333333"/>
          <w:sz w:val="32"/>
          <w:szCs w:val="32"/>
          <w:shd w:val="clear" w:color="auto" w:fill="FFFFFF"/>
          <w:lang w:eastAsia="zh-CN"/>
        </w:rPr>
        <w:t>、知识产权质押</w:t>
      </w:r>
      <w:r>
        <w:rPr>
          <w:rFonts w:ascii="仿宋_GB2312" w:hAnsi="Arial" w:eastAsia="仿宋_GB2312" w:cs="Arial"/>
          <w:color w:val="333333"/>
          <w:sz w:val="32"/>
          <w:szCs w:val="32"/>
          <w:shd w:val="clear" w:color="auto" w:fill="FFFFFF"/>
        </w:rPr>
        <w:t>等融资，支持符合条件的餐饮、零售、旅游、交通运输、等企业</w:t>
      </w:r>
      <w:r>
        <w:rPr>
          <w:rFonts w:hint="eastAsia" w:ascii="仿宋_GB2312" w:hAnsi="Arial" w:eastAsia="仿宋_GB2312" w:cs="Arial"/>
          <w:color w:val="333333"/>
          <w:sz w:val="32"/>
          <w:szCs w:val="32"/>
          <w:shd w:val="clear" w:color="auto" w:fill="FFFFFF"/>
          <w:lang w:eastAsia="zh-CN"/>
        </w:rPr>
        <w:t>开展直接融资</w:t>
      </w:r>
      <w:r>
        <w:rPr>
          <w:rFonts w:ascii="仿宋_GB2312" w:hAnsi="Arial" w:eastAsia="仿宋_GB2312" w:cs="Arial"/>
          <w:color w:val="333333"/>
          <w:sz w:val="32"/>
          <w:szCs w:val="32"/>
          <w:shd w:val="clear" w:color="auto" w:fill="FFFFFF"/>
        </w:rPr>
        <w:t>，拓宽企业多元化融资渠道。（</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地方金融监管局</w:t>
      </w:r>
      <w:r>
        <w:rPr>
          <w:rFonts w:hint="eastAsia" w:ascii="仿宋_GB2312" w:hAnsi="Arial" w:eastAsia="仿宋_GB2312" w:cs="Arial"/>
          <w:color w:val="333333"/>
          <w:sz w:val="32"/>
          <w:szCs w:val="32"/>
          <w:shd w:val="clear" w:color="auto" w:fill="FFFFFF"/>
          <w:lang w:eastAsia="zh-CN"/>
        </w:rPr>
        <w:t>、</w:t>
      </w:r>
      <w:r>
        <w:rPr>
          <w:rFonts w:ascii="仿宋_GB2312" w:hAnsi="Arial" w:eastAsia="仿宋_GB2312" w:cs="Arial"/>
          <w:color w:val="333333"/>
          <w:sz w:val="32"/>
          <w:szCs w:val="32"/>
          <w:shd w:val="clear" w:color="auto" w:fill="FFFFFF"/>
        </w:rPr>
        <w:t>人行</w:t>
      </w:r>
      <w:r>
        <w:rPr>
          <w:rFonts w:hint="eastAsia" w:ascii="仿宋_GB2312" w:hAnsi="Arial" w:eastAsia="仿宋_GB2312" w:cs="Arial"/>
          <w:color w:val="333333"/>
          <w:sz w:val="32"/>
          <w:szCs w:val="32"/>
          <w:shd w:val="clear" w:color="auto" w:fill="FFFFFF"/>
          <w:lang w:eastAsia="zh-CN"/>
        </w:rPr>
        <w:t>池州市</w:t>
      </w:r>
      <w:r>
        <w:rPr>
          <w:rFonts w:ascii="仿宋_GB2312" w:hAnsi="Arial" w:eastAsia="仿宋_GB2312" w:cs="Arial"/>
          <w:color w:val="333333"/>
          <w:sz w:val="32"/>
          <w:szCs w:val="32"/>
          <w:shd w:val="clear" w:color="auto" w:fill="FFFFFF"/>
        </w:rPr>
        <w:t>中心支行、</w:t>
      </w:r>
      <w:r>
        <w:rPr>
          <w:rFonts w:hint="eastAsia" w:ascii="仿宋_GB2312" w:hAnsi="Arial" w:eastAsia="仿宋_GB2312" w:cs="Arial"/>
          <w:color w:val="333333"/>
          <w:sz w:val="32"/>
          <w:szCs w:val="32"/>
          <w:shd w:val="clear" w:color="auto" w:fill="FFFFFF"/>
          <w:lang w:eastAsia="zh-CN"/>
        </w:rPr>
        <w:t>池州</w:t>
      </w:r>
      <w:r>
        <w:rPr>
          <w:rFonts w:ascii="仿宋_GB2312" w:hAnsi="Arial" w:eastAsia="仿宋_GB2312" w:cs="Arial"/>
          <w:color w:val="333333"/>
          <w:sz w:val="32"/>
          <w:szCs w:val="32"/>
          <w:shd w:val="clear" w:color="auto" w:fill="FFFFFF"/>
        </w:rPr>
        <w:t>银保监</w:t>
      </w:r>
      <w:r>
        <w:rPr>
          <w:rFonts w:hint="eastAsia" w:ascii="仿宋_GB2312" w:hAnsi="Arial" w:eastAsia="仿宋_GB2312" w:cs="Arial"/>
          <w:color w:val="333333"/>
          <w:sz w:val="32"/>
          <w:szCs w:val="32"/>
          <w:shd w:val="clear" w:color="auto" w:fill="FFFFFF"/>
          <w:lang w:eastAsia="zh-CN"/>
        </w:rPr>
        <w:t>分</w:t>
      </w:r>
      <w:r>
        <w:rPr>
          <w:rFonts w:ascii="仿宋_GB2312" w:hAnsi="Arial" w:eastAsia="仿宋_GB2312" w:cs="Arial"/>
          <w:color w:val="333333"/>
          <w:sz w:val="32"/>
          <w:szCs w:val="32"/>
          <w:shd w:val="clear" w:color="auto" w:fill="FFFFFF"/>
        </w:rPr>
        <w:t>局）</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lang w:val="en-US" w:eastAsia="zh-CN"/>
        </w:rPr>
        <w:t>13.</w:t>
      </w:r>
      <w:r>
        <w:rPr>
          <w:rFonts w:ascii="仿宋_GB2312" w:hAnsi="Arial" w:eastAsia="仿宋_GB2312" w:cs="Arial"/>
          <w:color w:val="333333"/>
          <w:sz w:val="32"/>
          <w:szCs w:val="32"/>
          <w:shd w:val="clear" w:color="auto" w:fill="FFFFFF"/>
        </w:rPr>
        <w:t>2022年继续推动金融系统减费让利，督促指导降低银行账户服务收费、人民币转账汇款手续费、银行卡刷卡手续费，减轻服务业小微企业和个体工商户经营成本压力。（</w:t>
      </w:r>
      <w:r>
        <w:rPr>
          <w:rFonts w:hint="eastAsia" w:ascii="仿宋_GB2312" w:hAnsi="Arial" w:eastAsia="仿宋_GB2312" w:cs="Arial"/>
          <w:color w:val="333333"/>
          <w:sz w:val="32"/>
          <w:szCs w:val="32"/>
          <w:shd w:val="clear" w:color="auto" w:fill="FFFFFF"/>
          <w:lang w:eastAsia="zh-CN"/>
        </w:rPr>
        <w:t>池州银保监分局、</w:t>
      </w:r>
      <w:r>
        <w:rPr>
          <w:rFonts w:ascii="仿宋_GB2312" w:hAnsi="Arial" w:eastAsia="仿宋_GB2312" w:cs="Arial"/>
          <w:color w:val="333333"/>
          <w:sz w:val="32"/>
          <w:szCs w:val="32"/>
          <w:shd w:val="clear" w:color="auto" w:fill="FFFFFF"/>
        </w:rPr>
        <w:t>人行</w:t>
      </w:r>
      <w:r>
        <w:rPr>
          <w:rFonts w:hint="eastAsia" w:ascii="仿宋_GB2312" w:hAnsi="Arial" w:eastAsia="仿宋_GB2312" w:cs="Arial"/>
          <w:color w:val="333333"/>
          <w:sz w:val="32"/>
          <w:szCs w:val="32"/>
          <w:shd w:val="clear" w:color="auto" w:fill="FFFFFF"/>
          <w:lang w:eastAsia="zh-CN"/>
        </w:rPr>
        <w:t>池州市</w:t>
      </w:r>
      <w:r>
        <w:rPr>
          <w:rFonts w:ascii="仿宋_GB2312" w:hAnsi="Arial" w:eastAsia="仿宋_GB2312" w:cs="Arial"/>
          <w:color w:val="333333"/>
          <w:sz w:val="32"/>
          <w:szCs w:val="32"/>
          <w:shd w:val="clear" w:color="auto" w:fill="FFFFFF"/>
        </w:rPr>
        <w:t>中心支行）</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lang w:val="en-US" w:eastAsia="zh-CN"/>
        </w:rPr>
        <w:t>14.</w:t>
      </w:r>
      <w:r>
        <w:rPr>
          <w:rFonts w:ascii="仿宋_GB2312" w:hAnsi="Arial" w:eastAsia="仿宋_GB2312" w:cs="Arial"/>
          <w:color w:val="333333"/>
          <w:sz w:val="32"/>
          <w:szCs w:val="32"/>
          <w:shd w:val="clear" w:color="auto" w:fill="FFFFFF"/>
        </w:rPr>
        <w:t>2022年，向中小微企业征收的地方水利建设基金按现有费率的90%征收，符合条件的服务业市场主体可以享受。对个体工商户的送检样品，国有检验检测技术机构在2022年内给予检验检测费用</w:t>
      </w:r>
      <w:r>
        <w:rPr>
          <w:rFonts w:hint="eastAsia" w:ascii="仿宋_GB2312" w:hAnsi="Arial" w:eastAsia="仿宋_GB2312" w:cs="Arial"/>
          <w:color w:val="333333"/>
          <w:sz w:val="32"/>
          <w:szCs w:val="32"/>
          <w:shd w:val="clear" w:color="auto" w:fill="FFFFFF"/>
          <w:lang w:val="en-US" w:eastAsia="zh-CN"/>
        </w:rPr>
        <w:t>25%</w:t>
      </w:r>
      <w:r>
        <w:rPr>
          <w:rFonts w:ascii="仿宋_GB2312" w:hAnsi="Arial" w:eastAsia="仿宋_GB2312" w:cs="Arial"/>
          <w:color w:val="333333"/>
          <w:sz w:val="32"/>
          <w:szCs w:val="32"/>
          <w:shd w:val="clear" w:color="auto" w:fill="FFFFFF"/>
        </w:rPr>
        <w:t>优惠。（</w:t>
      </w:r>
      <w:r>
        <w:rPr>
          <w:rFonts w:hint="eastAsia" w:ascii="仿宋_GB2312" w:hAnsi="Arial" w:eastAsia="仿宋_GB2312" w:cs="Arial"/>
          <w:color w:val="333333"/>
          <w:sz w:val="32"/>
          <w:szCs w:val="32"/>
          <w:shd w:val="clear" w:color="auto" w:fill="FFFFFF"/>
          <w:lang w:val="en-US" w:eastAsia="zh-CN"/>
        </w:rPr>
        <w:t>市</w:t>
      </w:r>
      <w:r>
        <w:rPr>
          <w:rFonts w:ascii="仿宋_GB2312" w:hAnsi="Arial" w:eastAsia="仿宋_GB2312" w:cs="Arial"/>
          <w:color w:val="333333"/>
          <w:sz w:val="32"/>
          <w:szCs w:val="32"/>
          <w:shd w:val="clear" w:color="auto" w:fill="FFFFFF"/>
        </w:rPr>
        <w:t>财政</w:t>
      </w:r>
      <w:r>
        <w:rPr>
          <w:rFonts w:hint="eastAsia" w:hAnsi="Arial" w:cs="Arial"/>
          <w:color w:val="333333"/>
          <w:sz w:val="32"/>
          <w:szCs w:val="32"/>
          <w:shd w:val="clear" w:color="auto" w:fill="FFFFFF"/>
          <w:lang w:eastAsia="zh-CN"/>
        </w:rPr>
        <w:t>局</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市场监管局、</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发展改革委）</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default" w:ascii="仿宋_GB2312" w:hAnsi="Arial" w:eastAsia="仿宋_GB2312" w:cs="Arial"/>
          <w:color w:val="333333"/>
          <w:sz w:val="32"/>
          <w:szCs w:val="32"/>
          <w:shd w:val="clear" w:color="auto" w:fill="FFFFFF"/>
          <w:lang w:val="en-US" w:eastAsia="zh-CN"/>
        </w:rPr>
      </w:pPr>
      <w:r>
        <w:rPr>
          <w:rFonts w:hint="eastAsia" w:ascii="仿宋_GB2312" w:hAnsi="Arial" w:eastAsia="仿宋_GB2312" w:cs="Arial"/>
          <w:color w:val="333333"/>
          <w:sz w:val="32"/>
          <w:szCs w:val="32"/>
          <w:shd w:val="clear" w:color="auto" w:fill="FFFFFF"/>
          <w:lang w:val="en-US" w:eastAsia="zh-CN"/>
        </w:rPr>
        <w:t>15.</w:t>
      </w:r>
      <w:r>
        <w:rPr>
          <w:rFonts w:ascii="仿宋_GB2312" w:hAnsi="Arial" w:eastAsia="仿宋_GB2312" w:cs="Arial"/>
          <w:color w:val="333333"/>
          <w:sz w:val="32"/>
          <w:szCs w:val="32"/>
          <w:shd w:val="clear" w:color="auto" w:fill="FFFFFF"/>
        </w:rPr>
        <w:t>制定实施制止乱收费、乱摊派、乱罚款专项整治行动方案，完善整治涉企乱收费协同治理和联合惩戒机制，防止对服务业的各项助企纾困政策效果被“三乱”抵消。（</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财政</w:t>
      </w:r>
      <w:r>
        <w:rPr>
          <w:rFonts w:hint="eastAsia" w:hAnsi="Arial" w:cs="Arial"/>
          <w:color w:val="333333"/>
          <w:sz w:val="32"/>
          <w:szCs w:val="32"/>
          <w:shd w:val="clear" w:color="auto" w:fill="FFFFFF"/>
          <w:lang w:eastAsia="zh-CN"/>
        </w:rPr>
        <w:t>局</w:t>
      </w:r>
      <w:r>
        <w:rPr>
          <w:rFonts w:hint="eastAsia" w:ascii="仿宋_GB2312" w:hAnsi="Arial" w:eastAsia="仿宋_GB2312" w:cs="Arial"/>
          <w:color w:val="333333"/>
          <w:sz w:val="32"/>
          <w:szCs w:val="32"/>
          <w:shd w:val="clear" w:color="auto" w:fill="FFFFFF"/>
          <w:lang w:eastAsia="zh-CN"/>
        </w:rPr>
        <w:t>、</w:t>
      </w:r>
      <w:r>
        <w:rPr>
          <w:rFonts w:hint="eastAsia" w:ascii="仿宋_GB2312" w:hAnsi="Arial" w:eastAsia="仿宋_GB2312" w:cs="Arial"/>
          <w:color w:val="333333"/>
          <w:sz w:val="32"/>
          <w:szCs w:val="32"/>
          <w:shd w:val="clear" w:color="auto" w:fill="FFFFFF"/>
          <w:lang w:val="en-US" w:eastAsia="zh-CN"/>
        </w:rPr>
        <w:t>市</w:t>
      </w:r>
      <w:r>
        <w:rPr>
          <w:rFonts w:ascii="仿宋_GB2312" w:hAnsi="Arial" w:eastAsia="仿宋_GB2312" w:cs="Arial"/>
          <w:color w:val="333333"/>
          <w:sz w:val="32"/>
          <w:szCs w:val="32"/>
          <w:shd w:val="clear" w:color="auto" w:fill="FFFFFF"/>
        </w:rPr>
        <w:t>发展改革委、</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国资委、</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市场监管局）</w:t>
      </w:r>
    </w:p>
    <w:p>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Style w:val="9"/>
          <w:rFonts w:ascii="黑体" w:eastAsia="黑体"/>
          <w:b w:val="0"/>
          <w:sz w:val="32"/>
          <w:szCs w:val="32"/>
        </w:rPr>
      </w:pPr>
      <w:r>
        <w:rPr>
          <w:rStyle w:val="9"/>
          <w:rFonts w:ascii="黑体" w:hAnsi="Arial" w:eastAsia="黑体" w:cs="Arial"/>
          <w:b w:val="0"/>
          <w:bCs w:val="0"/>
          <w:color w:val="333333"/>
          <w:sz w:val="32"/>
          <w:szCs w:val="32"/>
        </w:rPr>
        <w:t>二、餐饮业纾困扶持措施</w:t>
      </w:r>
    </w:p>
    <w:p>
      <w:pPr>
        <w:pStyle w:val="5"/>
        <w:keepNext w:val="0"/>
        <w:keepLines w:val="0"/>
        <w:pageBreakBefore w:val="0"/>
        <w:kinsoku/>
        <w:wordWrap/>
        <w:overflowPunct/>
        <w:topLinePunct w:val="0"/>
        <w:bidi w:val="0"/>
        <w:adjustRightInd/>
        <w:snapToGrid/>
        <w:spacing w:before="0" w:beforeAutospacing="0" w:after="0" w:afterAutospacing="0" w:line="560" w:lineRule="exact"/>
        <w:ind w:firstLine="640" w:firstLineChars="200"/>
        <w:textAlignment w:val="auto"/>
        <w:rPr>
          <w:rFonts w:hint="eastAsia" w:ascii="仿宋_GB2312" w:hAnsi="微软雅黑" w:eastAsia="仿宋_GB2312"/>
          <w:color w:val="222222"/>
          <w:sz w:val="32"/>
          <w:szCs w:val="32"/>
        </w:rPr>
      </w:pPr>
      <w:r>
        <w:rPr>
          <w:rFonts w:hint="eastAsia" w:ascii="仿宋_GB2312" w:hAnsi="微软雅黑" w:eastAsia="仿宋_GB2312"/>
          <w:color w:val="222222"/>
          <w:sz w:val="32"/>
          <w:szCs w:val="32"/>
        </w:rPr>
        <w:t>1</w:t>
      </w:r>
      <w:r>
        <w:rPr>
          <w:rFonts w:hint="eastAsia" w:ascii="仿宋_GB2312" w:hAnsi="微软雅黑" w:eastAsia="仿宋_GB2312"/>
          <w:color w:val="222222"/>
          <w:sz w:val="32"/>
          <w:szCs w:val="32"/>
          <w:lang w:val="en-US" w:eastAsia="zh-CN"/>
        </w:rPr>
        <w:t>6</w:t>
      </w:r>
      <w:r>
        <w:rPr>
          <w:rFonts w:hint="eastAsia" w:ascii="仿宋_GB2312" w:hAnsi="微软雅黑" w:eastAsia="仿宋_GB2312"/>
          <w:color w:val="222222"/>
          <w:sz w:val="32"/>
          <w:szCs w:val="32"/>
        </w:rPr>
        <w:t>.支持互联网平台企业开展中小微商户帮扶行动，</w:t>
      </w:r>
      <w:r>
        <w:rPr>
          <w:rFonts w:ascii="仿宋_GB2312" w:hAnsi="Arial" w:eastAsia="仿宋_GB2312" w:cs="Arial"/>
          <w:color w:val="333333"/>
          <w:sz w:val="32"/>
          <w:szCs w:val="32"/>
          <w:shd w:val="clear" w:color="auto" w:fill="FFFFFF"/>
        </w:rPr>
        <w:t>倡导外卖等互联网平台企业进一步下调餐饮业商户服务费标准</w:t>
      </w:r>
      <w:r>
        <w:rPr>
          <w:rFonts w:hint="eastAsia" w:ascii="仿宋_GB2312" w:hAnsi="微软雅黑" w:eastAsia="仿宋_GB2312"/>
          <w:color w:val="222222"/>
          <w:sz w:val="32"/>
          <w:szCs w:val="32"/>
        </w:rPr>
        <w:t>。鼓励互联网平台企业为商户无偿开展数字化代运营服务，逐步提高商户线上经营水平。（</w:t>
      </w:r>
      <w:r>
        <w:rPr>
          <w:rFonts w:hint="eastAsia" w:ascii="仿宋_GB2312" w:hAnsi="微软雅黑" w:eastAsia="仿宋_GB2312"/>
          <w:color w:val="222222"/>
          <w:sz w:val="32"/>
          <w:szCs w:val="32"/>
          <w:lang w:val="en-US" w:eastAsia="zh-CN"/>
        </w:rPr>
        <w:t>市市场监管局、</w:t>
      </w:r>
      <w:r>
        <w:rPr>
          <w:rFonts w:hint="eastAsia" w:ascii="仿宋_GB2312" w:hAnsi="微软雅黑" w:eastAsia="仿宋_GB2312"/>
          <w:color w:val="222222"/>
          <w:sz w:val="32"/>
          <w:szCs w:val="32"/>
        </w:rPr>
        <w:t>市商务局）</w:t>
      </w:r>
    </w:p>
    <w:p>
      <w:pPr>
        <w:pStyle w:val="5"/>
        <w:keepNext w:val="0"/>
        <w:keepLines w:val="0"/>
        <w:pageBreakBefore w:val="0"/>
        <w:kinsoku/>
        <w:wordWrap/>
        <w:overflowPunct/>
        <w:topLinePunct w:val="0"/>
        <w:bidi w:val="0"/>
        <w:adjustRightInd/>
        <w:snapToGrid/>
        <w:spacing w:before="0" w:beforeAutospacing="0" w:after="0" w:afterAutospacing="0" w:line="560" w:lineRule="exact"/>
        <w:ind w:firstLine="640" w:firstLineChars="200"/>
        <w:textAlignment w:val="auto"/>
        <w:rPr>
          <w:rFonts w:hint="eastAsia" w:ascii="仿宋_GB2312" w:hAnsi="微软雅黑" w:eastAsia="仿宋_GB2312"/>
          <w:color w:val="222222"/>
          <w:sz w:val="32"/>
          <w:szCs w:val="32"/>
        </w:rPr>
      </w:pPr>
      <w:r>
        <w:rPr>
          <w:rFonts w:hint="eastAsia" w:ascii="仿宋_GB2312" w:hAnsi="微软雅黑" w:eastAsia="仿宋_GB2312"/>
          <w:color w:val="222222"/>
          <w:sz w:val="32"/>
          <w:szCs w:val="32"/>
        </w:rPr>
        <w:t>1</w:t>
      </w:r>
      <w:r>
        <w:rPr>
          <w:rFonts w:hint="eastAsia" w:ascii="仿宋_GB2312" w:hAnsi="微软雅黑" w:eastAsia="仿宋_GB2312"/>
          <w:color w:val="222222"/>
          <w:sz w:val="32"/>
          <w:szCs w:val="32"/>
          <w:lang w:val="en-US" w:eastAsia="zh-CN"/>
        </w:rPr>
        <w:t>7</w:t>
      </w:r>
      <w:r>
        <w:rPr>
          <w:rFonts w:hint="eastAsia" w:ascii="仿宋_GB2312" w:hAnsi="微软雅黑" w:eastAsia="仿宋_GB2312"/>
          <w:color w:val="222222"/>
          <w:sz w:val="32"/>
          <w:szCs w:val="32"/>
        </w:rPr>
        <w:t>.</w:t>
      </w:r>
      <w:r>
        <w:rPr>
          <w:rFonts w:ascii="仿宋_GB2312" w:hAnsi="Arial" w:eastAsia="仿宋_GB2312" w:cs="Arial"/>
          <w:color w:val="333333"/>
          <w:sz w:val="32"/>
          <w:szCs w:val="32"/>
          <w:shd w:val="clear" w:color="auto" w:fill="FFFFFF"/>
        </w:rPr>
        <w:t>开展“皖美好味道·百县名小吃”美食评选、选店、宣传推广等系列活动，组织企业开展“精品预制菜”网上展销促销。鼓励传统餐饮企业加强与互联网订餐平台合作，推动“中央厨房+线下配送”等新经营模式。</w:t>
      </w:r>
      <w:r>
        <w:rPr>
          <w:rFonts w:hint="eastAsia" w:ascii="仿宋_GB2312" w:hAnsi="微软雅黑" w:eastAsia="仿宋_GB2312"/>
          <w:color w:val="222222"/>
          <w:sz w:val="32"/>
          <w:szCs w:val="32"/>
        </w:rPr>
        <w:t>（市</w:t>
      </w:r>
      <w:r>
        <w:rPr>
          <w:rFonts w:hint="eastAsia" w:ascii="仿宋_GB2312" w:hAnsi="微软雅黑" w:eastAsia="仿宋_GB2312"/>
          <w:color w:val="222222"/>
          <w:sz w:val="32"/>
          <w:szCs w:val="32"/>
          <w:lang w:val="en-US" w:eastAsia="zh-CN"/>
        </w:rPr>
        <w:t>文化和旅游局</w:t>
      </w:r>
      <w:r>
        <w:rPr>
          <w:rFonts w:hint="eastAsia" w:ascii="仿宋_GB2312" w:hAnsi="微软雅黑" w:eastAsia="仿宋_GB2312"/>
          <w:color w:val="222222"/>
          <w:sz w:val="32"/>
          <w:szCs w:val="32"/>
        </w:rPr>
        <w:t>）</w:t>
      </w:r>
    </w:p>
    <w:p>
      <w:pPr>
        <w:keepNext w:val="0"/>
        <w:keepLines w:val="0"/>
        <w:pageBreakBefore w:val="0"/>
        <w:kinsoku/>
        <w:wordWrap/>
        <w:overflowPunct/>
        <w:topLinePunct w:val="0"/>
        <w:bidi w:val="0"/>
        <w:adjustRightInd/>
        <w:snapToGrid/>
        <w:spacing w:line="560" w:lineRule="exact"/>
        <w:ind w:firstLine="640" w:firstLineChars="200"/>
        <w:textAlignment w:val="auto"/>
        <w:rPr>
          <w:rFonts w:hint="eastAsia" w:ascii="仿宋_GB2312" w:hAnsi="Arial" w:eastAsia="仿宋_GB2312" w:cs="Arial"/>
          <w:color w:val="333333"/>
          <w:sz w:val="32"/>
          <w:szCs w:val="32"/>
          <w:shd w:val="clear" w:color="auto" w:fill="FFFFFF"/>
          <w:lang w:val="en-US" w:eastAsia="zh-CN"/>
        </w:rPr>
      </w:pPr>
      <w:r>
        <w:rPr>
          <w:rFonts w:hint="eastAsia" w:ascii="仿宋_GB2312" w:hAnsi="Arial" w:eastAsia="仿宋_GB2312" w:cs="Arial"/>
          <w:color w:val="333333"/>
          <w:sz w:val="32"/>
          <w:szCs w:val="32"/>
          <w:shd w:val="clear" w:color="auto" w:fill="FFFFFF"/>
          <w:lang w:val="en-US" w:eastAsia="zh-CN"/>
        </w:rPr>
        <w:t>18.</w:t>
      </w:r>
      <w:r>
        <w:rPr>
          <w:rFonts w:hint="eastAsia" w:ascii="仿宋_GB2312" w:hAnsi="宋体" w:eastAsia="仿宋_GB2312" w:cs="宋体"/>
          <w:kern w:val="0"/>
          <w:sz w:val="32"/>
          <w:szCs w:val="32"/>
        </w:rPr>
        <w:t>鼓励餐饮企业为老年人提供助餐服务，</w:t>
      </w:r>
      <w:r>
        <w:rPr>
          <w:rFonts w:ascii="仿宋_GB2312" w:hAnsi="Arial" w:eastAsia="仿宋_GB2312" w:cs="Arial"/>
          <w:color w:val="333333"/>
          <w:sz w:val="32"/>
          <w:szCs w:val="32"/>
          <w:shd w:val="clear" w:color="auto" w:fill="FFFFFF"/>
        </w:rPr>
        <w:t>积极引导有条件的餐饮企业参与老年人助餐服务，扶持各类市场主体运营老年助餐设施。</w:t>
      </w:r>
      <w:r>
        <w:rPr>
          <w:rFonts w:hint="eastAsia" w:ascii="仿宋_GB2312" w:hAnsi="Arial" w:eastAsia="仿宋_GB2312" w:cs="Arial"/>
          <w:color w:val="333333"/>
          <w:sz w:val="32"/>
          <w:szCs w:val="32"/>
          <w:shd w:val="clear" w:color="auto" w:fill="FFFFFF"/>
          <w:lang w:eastAsia="zh-CN"/>
        </w:rPr>
        <w:t>（</w:t>
      </w:r>
      <w:r>
        <w:rPr>
          <w:rFonts w:hint="eastAsia" w:ascii="仿宋_GB2312" w:hAnsi="Arial" w:eastAsia="仿宋_GB2312" w:cs="Arial"/>
          <w:color w:val="333333"/>
          <w:sz w:val="32"/>
          <w:szCs w:val="32"/>
          <w:shd w:val="clear" w:color="auto" w:fill="FFFFFF"/>
          <w:lang w:val="en-US" w:eastAsia="zh-CN"/>
        </w:rPr>
        <w:t>市民政局</w:t>
      </w:r>
      <w:r>
        <w:rPr>
          <w:rFonts w:hint="eastAsia" w:ascii="仿宋_GB2312" w:hAnsi="Arial" w:eastAsia="仿宋_GB2312" w:cs="Arial"/>
          <w:color w:val="333333"/>
          <w:sz w:val="32"/>
          <w:szCs w:val="32"/>
          <w:shd w:val="clear" w:color="auto" w:fill="FFFFFF"/>
          <w:lang w:eastAsia="zh-CN"/>
        </w:rPr>
        <w:t>）</w:t>
      </w:r>
    </w:p>
    <w:p>
      <w:pPr>
        <w:keepNext w:val="0"/>
        <w:keepLines w:val="0"/>
        <w:pageBreakBefore w:val="0"/>
        <w:kinsoku/>
        <w:wordWrap/>
        <w:overflowPunct/>
        <w:topLinePunct w:val="0"/>
        <w:bidi w:val="0"/>
        <w:adjustRightInd/>
        <w:snapToGrid/>
        <w:spacing w:line="560" w:lineRule="exact"/>
        <w:ind w:firstLine="640" w:firstLineChars="200"/>
        <w:textAlignment w:val="auto"/>
        <w:rPr>
          <w:rStyle w:val="9"/>
          <w:rFonts w:ascii="黑体" w:eastAsia="黑体"/>
          <w:b w:val="0"/>
          <w:sz w:val="32"/>
          <w:szCs w:val="32"/>
        </w:rPr>
      </w:pPr>
      <w:r>
        <w:rPr>
          <w:rStyle w:val="9"/>
          <w:rFonts w:ascii="黑体" w:hAnsi="Arial" w:eastAsia="黑体" w:cs="Arial"/>
          <w:b w:val="0"/>
          <w:color w:val="333333"/>
          <w:sz w:val="32"/>
          <w:szCs w:val="32"/>
        </w:rPr>
        <w:t>三、零售业纾困扶持措施</w:t>
      </w:r>
    </w:p>
    <w:p>
      <w:pPr>
        <w:pStyle w:val="13"/>
        <w:keepNext w:val="0"/>
        <w:keepLines w:val="0"/>
        <w:pageBreakBefore w:val="0"/>
        <w:widowControl w:val="0"/>
        <w:numPr>
          <w:ilvl w:val="0"/>
          <w:numId w:val="0"/>
        </w:numPr>
        <w:shd w:val="clear" w:color="auto" w:fill="auto"/>
        <w:tabs>
          <w:tab w:val="left" w:pos="985"/>
        </w:tabs>
        <w:kinsoku/>
        <w:wordWrap/>
        <w:overflowPunct/>
        <w:topLinePunct w:val="0"/>
        <w:autoSpaceDE/>
        <w:autoSpaceDN/>
        <w:bidi w:val="0"/>
        <w:adjustRightInd/>
        <w:snapToGrid/>
        <w:spacing w:before="0" w:after="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w w:val="100"/>
          <w:position w:val="0"/>
          <w:sz w:val="32"/>
          <w:szCs w:val="32"/>
          <w:lang w:val="en-US" w:eastAsia="zh-CN"/>
        </w:rPr>
        <w:t>19.</w:t>
      </w:r>
      <w:r>
        <w:rPr>
          <w:rFonts w:hint="eastAsia" w:ascii="仿宋_GB2312" w:hAnsi="仿宋_GB2312" w:eastAsia="仿宋_GB2312" w:cs="仿宋_GB2312"/>
          <w:color w:val="000000"/>
          <w:spacing w:val="0"/>
          <w:w w:val="100"/>
          <w:position w:val="0"/>
          <w:sz w:val="32"/>
          <w:szCs w:val="32"/>
        </w:rPr>
        <w:t>消费者在我市限上汽车销售企业购买新能源乘用车，给予1000元/辆一次性补贴；在我市限上家电销售企业购买单件3000元以上绿色智能家电的，给予200元/台一次性补贴。鼓励商家采取多种形式最大化让利消费者。汽车补贴总量3000辆，绿色智能家电补贴总量1万台，用完即止。（市商务局、市财政局）</w:t>
      </w:r>
    </w:p>
    <w:p>
      <w:pPr>
        <w:pStyle w:val="13"/>
        <w:keepNext w:val="0"/>
        <w:keepLines w:val="0"/>
        <w:pageBreakBefore w:val="0"/>
        <w:widowControl w:val="0"/>
        <w:numPr>
          <w:ilvl w:val="0"/>
          <w:numId w:val="0"/>
        </w:numPr>
        <w:shd w:val="clear" w:color="auto" w:fill="auto"/>
        <w:tabs>
          <w:tab w:val="left" w:pos="990"/>
        </w:tabs>
        <w:kinsoku/>
        <w:wordWrap/>
        <w:overflowPunct/>
        <w:topLinePunct w:val="0"/>
        <w:autoSpaceDE/>
        <w:autoSpaceDN/>
        <w:bidi w:val="0"/>
        <w:adjustRightInd/>
        <w:snapToGrid/>
        <w:spacing w:before="0" w:after="0" w:line="560" w:lineRule="exact"/>
        <w:ind w:right="0" w:rightChars="0" w:firstLine="640" w:firstLineChars="200"/>
        <w:jc w:val="both"/>
        <w:textAlignment w:val="auto"/>
        <w:rPr>
          <w:rFonts w:hint="eastAsia" w:ascii="仿宋_GB2312" w:hAnsi="仿宋_GB2312" w:eastAsia="仿宋_GB2312" w:cs="仿宋_GB2312"/>
          <w:color w:val="000000"/>
          <w:spacing w:val="0"/>
          <w:w w:val="100"/>
          <w:position w:val="0"/>
          <w:sz w:val="32"/>
          <w:szCs w:val="32"/>
        </w:rPr>
      </w:pPr>
      <w:bookmarkStart w:id="0" w:name="bookmark11"/>
      <w:bookmarkEnd w:id="0"/>
      <w:r>
        <w:rPr>
          <w:rFonts w:hint="eastAsia" w:ascii="仿宋_GB2312" w:hAnsi="仿宋_GB2312" w:eastAsia="仿宋_GB2312" w:cs="仿宋_GB2312"/>
          <w:color w:val="000000"/>
          <w:spacing w:val="0"/>
          <w:w w:val="100"/>
          <w:position w:val="0"/>
          <w:sz w:val="32"/>
          <w:szCs w:val="32"/>
          <w:lang w:val="en-US" w:eastAsia="zh-CN"/>
        </w:rPr>
        <w:t>20.</w:t>
      </w:r>
      <w:r>
        <w:rPr>
          <w:rFonts w:hint="eastAsia" w:ascii="仿宋_GB2312" w:hAnsi="仿宋_GB2312" w:eastAsia="仿宋_GB2312" w:cs="仿宋_GB2312"/>
          <w:color w:val="000000"/>
          <w:spacing w:val="0"/>
          <w:w w:val="100"/>
          <w:position w:val="0"/>
          <w:sz w:val="32"/>
          <w:szCs w:val="32"/>
        </w:rPr>
        <w:t>支持限额以上餐饮企业与互联网订餐平台加强合作，开展线上订餐，提供线下自提和无接触配送服务。对依托第三方平台或自营网站（平台），每月网络销售额达15万元以上的限额以上餐饮企业，按网络销售额最高2%给予奖励。（市商务局、市</w:t>
      </w:r>
      <w:r>
        <w:rPr>
          <w:rFonts w:hint="eastAsia" w:ascii="仿宋_GB2312" w:hAnsi="仿宋_GB2312" w:eastAsia="仿宋_GB2312" w:cs="仿宋_GB2312"/>
          <w:color w:val="000000"/>
          <w:spacing w:val="0"/>
          <w:w w:val="100"/>
          <w:position w:val="0"/>
          <w:sz w:val="32"/>
          <w:szCs w:val="32"/>
          <w:lang w:val="en-US" w:eastAsia="zh-CN"/>
        </w:rPr>
        <w:t>文化和旅游局</w:t>
      </w:r>
      <w:r>
        <w:rPr>
          <w:rFonts w:hint="eastAsia" w:ascii="仿宋_GB2312" w:hAnsi="仿宋_GB2312" w:eastAsia="仿宋_GB2312" w:cs="仿宋_GB2312"/>
          <w:color w:val="000000"/>
          <w:spacing w:val="0"/>
          <w:w w:val="100"/>
          <w:position w:val="0"/>
          <w:sz w:val="32"/>
          <w:szCs w:val="32"/>
        </w:rPr>
        <w:t>、市财政局）</w:t>
      </w:r>
    </w:p>
    <w:p>
      <w:pPr>
        <w:pStyle w:val="13"/>
        <w:keepNext w:val="0"/>
        <w:keepLines w:val="0"/>
        <w:pageBreakBefore w:val="0"/>
        <w:widowControl w:val="0"/>
        <w:numPr>
          <w:ilvl w:val="0"/>
          <w:numId w:val="0"/>
        </w:numPr>
        <w:shd w:val="clear" w:color="auto" w:fill="auto"/>
        <w:tabs>
          <w:tab w:val="left" w:pos="990"/>
        </w:tabs>
        <w:kinsoku/>
        <w:wordWrap/>
        <w:overflowPunct/>
        <w:topLinePunct w:val="0"/>
        <w:autoSpaceDE/>
        <w:autoSpaceDN/>
        <w:bidi w:val="0"/>
        <w:adjustRightInd/>
        <w:snapToGrid/>
        <w:spacing w:before="0" w:after="0" w:line="560" w:lineRule="exact"/>
        <w:ind w:right="0" w:rightChars="0" w:firstLine="640" w:firstLineChars="200"/>
        <w:jc w:val="both"/>
        <w:textAlignment w:val="auto"/>
        <w:rPr>
          <w:rFonts w:hint="default" w:ascii="仿宋_GB2312" w:hAnsi="仿宋_GB2312" w:eastAsia="仿宋_GB2312" w:cs="仿宋_GB2312"/>
          <w:color w:val="000000"/>
          <w:spacing w:val="0"/>
          <w:w w:val="100"/>
          <w:position w:val="0"/>
          <w:sz w:val="32"/>
          <w:szCs w:val="32"/>
          <w:lang w:val="en-US" w:eastAsia="zh-CN"/>
        </w:rPr>
      </w:pPr>
      <w:r>
        <w:rPr>
          <w:rFonts w:hint="eastAsia" w:ascii="仿宋_GB2312" w:hAnsi="仿宋_GB2312" w:eastAsia="仿宋_GB2312" w:cs="仿宋_GB2312"/>
          <w:color w:val="000000"/>
          <w:spacing w:val="0"/>
          <w:w w:val="100"/>
          <w:position w:val="0"/>
          <w:sz w:val="32"/>
          <w:szCs w:val="32"/>
          <w:lang w:val="en-US" w:eastAsia="zh-CN"/>
        </w:rPr>
        <w:t>21.支持地方农村商业银行推出适合茶产业特色的个性化金融产品“茶叶贷”，茶农最高授信30万元，茶企最高授信200万元，并可循环使用、随借随还。对全市茶叶大户、茶叶合作社、茶叶企业等，因生产加工、储存茶叶发生的流动资金贷款予以财政贴息补助,在今年二季度签订的短期流动资金贷款合同，按国家基准利率对6个月以内的贷款进行贴息补助（实际贷款利率低于国家基准利率的，按实际发生的贷款利率贴息）。贴息补助资金由县（区）财政先行兑付，市财政按不超过50%比例对县区进行补助。（市农业农村局、市财政局）</w:t>
      </w:r>
    </w:p>
    <w:p>
      <w:pPr>
        <w:keepNext w:val="0"/>
        <w:keepLines w:val="0"/>
        <w:pageBreakBefore w:val="0"/>
        <w:kinsoku/>
        <w:wordWrap/>
        <w:overflowPunct/>
        <w:topLinePunct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lang w:val="en-US" w:eastAsia="zh-CN"/>
        </w:rPr>
        <w:t>22.</w:t>
      </w:r>
      <w:r>
        <w:rPr>
          <w:rFonts w:ascii="仿宋_GB2312" w:hAnsi="Arial" w:eastAsia="仿宋_GB2312" w:cs="Arial"/>
          <w:color w:val="333333"/>
          <w:sz w:val="32"/>
          <w:szCs w:val="32"/>
          <w:shd w:val="clear" w:color="auto" w:fill="FFFFFF"/>
        </w:rPr>
        <w:t>加强农产品供应链体系建设，</w:t>
      </w:r>
      <w:r>
        <w:rPr>
          <w:rFonts w:hint="eastAsia" w:ascii="仿宋_GB2312" w:hAnsi="Arial" w:eastAsia="仿宋_GB2312" w:cs="Arial"/>
          <w:color w:val="333333"/>
          <w:sz w:val="32"/>
          <w:szCs w:val="32"/>
          <w:shd w:val="clear" w:color="auto" w:fill="FFFFFF"/>
          <w:lang w:val="en-US" w:eastAsia="zh-CN"/>
        </w:rPr>
        <w:t>引导符合条件的企业积极申报省</w:t>
      </w:r>
      <w:r>
        <w:rPr>
          <w:rFonts w:ascii="仿宋_GB2312" w:hAnsi="Arial" w:eastAsia="仿宋_GB2312" w:cs="Arial"/>
          <w:color w:val="333333"/>
          <w:sz w:val="32"/>
          <w:szCs w:val="32"/>
          <w:shd w:val="clear" w:color="auto" w:fill="FFFFFF"/>
        </w:rPr>
        <w:t>服务业发展资金</w:t>
      </w:r>
      <w:r>
        <w:rPr>
          <w:rFonts w:hint="eastAsia" w:ascii="仿宋_GB2312" w:hAnsi="Arial" w:eastAsia="仿宋_GB2312" w:cs="Arial"/>
          <w:color w:val="333333"/>
          <w:sz w:val="32"/>
          <w:szCs w:val="32"/>
          <w:shd w:val="clear" w:color="auto" w:fill="FFFFFF"/>
          <w:lang w:eastAsia="zh-CN"/>
        </w:rPr>
        <w:t>。</w:t>
      </w:r>
      <w:r>
        <w:rPr>
          <w:rFonts w:hint="eastAsia" w:ascii="仿宋_GB2312" w:hAnsi="Arial" w:eastAsia="仿宋_GB2312" w:cs="Arial"/>
          <w:color w:val="333333"/>
          <w:sz w:val="32"/>
          <w:szCs w:val="32"/>
          <w:shd w:val="clear" w:color="auto" w:fill="FFFFFF"/>
          <w:lang w:val="en-US" w:eastAsia="zh-CN"/>
        </w:rPr>
        <w:t>推进农产品冷链基础设施建设</w:t>
      </w:r>
      <w:r>
        <w:rPr>
          <w:rFonts w:ascii="仿宋_GB2312" w:hAnsi="Arial" w:eastAsia="仿宋_GB2312" w:cs="Arial"/>
          <w:color w:val="333333"/>
          <w:sz w:val="32"/>
          <w:szCs w:val="32"/>
          <w:shd w:val="clear" w:color="auto" w:fill="FFFFFF"/>
        </w:rPr>
        <w:t>（</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商务</w:t>
      </w:r>
      <w:r>
        <w:rPr>
          <w:rFonts w:hint="eastAsia" w:ascii="仿宋_GB2312" w:hAnsi="Arial" w:eastAsia="仿宋_GB2312" w:cs="Arial"/>
          <w:color w:val="333333"/>
          <w:sz w:val="32"/>
          <w:szCs w:val="32"/>
          <w:shd w:val="clear" w:color="auto" w:fill="FFFFFF"/>
          <w:lang w:val="en-US" w:eastAsia="zh-CN"/>
        </w:rPr>
        <w:t>局</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发展改革委、</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农业农村</w:t>
      </w:r>
      <w:r>
        <w:rPr>
          <w:rFonts w:hint="eastAsia" w:ascii="仿宋_GB2312" w:hAnsi="Arial" w:eastAsia="仿宋_GB2312" w:cs="Arial"/>
          <w:color w:val="333333"/>
          <w:sz w:val="32"/>
          <w:szCs w:val="32"/>
          <w:shd w:val="clear" w:color="auto" w:fill="FFFFFF"/>
          <w:lang w:val="en-US" w:eastAsia="zh-CN"/>
        </w:rPr>
        <w:t>局</w:t>
      </w:r>
      <w:r>
        <w:rPr>
          <w:rFonts w:ascii="仿宋_GB2312" w:hAnsi="Arial" w:eastAsia="仿宋_GB2312" w:cs="Arial"/>
          <w:color w:val="333333"/>
          <w:sz w:val="32"/>
          <w:szCs w:val="32"/>
          <w:shd w:val="clear" w:color="auto" w:fill="FFFFFF"/>
        </w:rPr>
        <w:t>、</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财政</w:t>
      </w:r>
      <w:r>
        <w:rPr>
          <w:rFonts w:hint="eastAsia" w:ascii="仿宋_GB2312" w:hAnsi="Arial" w:eastAsia="仿宋_GB2312" w:cs="Arial"/>
          <w:color w:val="333333"/>
          <w:sz w:val="32"/>
          <w:szCs w:val="32"/>
          <w:shd w:val="clear" w:color="auto" w:fill="FFFFFF"/>
          <w:lang w:val="en-US" w:eastAsia="zh-CN"/>
        </w:rPr>
        <w:t>局</w:t>
      </w:r>
      <w:r>
        <w:rPr>
          <w:rFonts w:ascii="仿宋_GB2312" w:hAnsi="Arial" w:eastAsia="仿宋_GB2312" w:cs="Arial"/>
          <w:color w:val="333333"/>
          <w:sz w:val="32"/>
          <w:szCs w:val="32"/>
          <w:shd w:val="clear" w:color="auto" w:fill="FFFFFF"/>
        </w:rPr>
        <w:t>）</w:t>
      </w:r>
    </w:p>
    <w:p>
      <w:pPr>
        <w:keepNext w:val="0"/>
        <w:keepLines w:val="0"/>
        <w:pageBreakBefore w:val="0"/>
        <w:kinsoku/>
        <w:wordWrap/>
        <w:overflowPunct/>
        <w:topLinePunct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lang w:val="en-US" w:eastAsia="zh-CN"/>
        </w:rPr>
        <w:t>23.</w:t>
      </w:r>
      <w:r>
        <w:rPr>
          <w:rFonts w:ascii="仿宋_GB2312" w:hAnsi="Arial" w:eastAsia="仿宋_GB2312" w:cs="Arial"/>
          <w:color w:val="333333"/>
          <w:sz w:val="32"/>
          <w:szCs w:val="32"/>
          <w:shd w:val="clear" w:color="auto" w:fill="FFFFFF"/>
        </w:rPr>
        <w:t>加快县域商业体系建设，优化县域商业网点设施布局，完善县乡村三级物流配送体系，发展县域现代流通服务体系，支持符合条件的项目争取中央财政服务业发展资金。（</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商务</w:t>
      </w:r>
      <w:r>
        <w:rPr>
          <w:rFonts w:hint="eastAsia" w:ascii="仿宋_GB2312" w:hAnsi="Arial" w:eastAsia="仿宋_GB2312" w:cs="Arial"/>
          <w:color w:val="333333"/>
          <w:sz w:val="32"/>
          <w:szCs w:val="32"/>
          <w:shd w:val="clear" w:color="auto" w:fill="FFFFFF"/>
          <w:lang w:val="en-US" w:eastAsia="zh-CN"/>
        </w:rPr>
        <w:t>局</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发展改革委、</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交通运输</w:t>
      </w:r>
      <w:r>
        <w:rPr>
          <w:rFonts w:hint="eastAsia" w:ascii="仿宋_GB2312" w:hAnsi="Arial" w:eastAsia="仿宋_GB2312" w:cs="Arial"/>
          <w:color w:val="333333"/>
          <w:sz w:val="32"/>
          <w:szCs w:val="32"/>
          <w:shd w:val="clear" w:color="auto" w:fill="FFFFFF"/>
          <w:lang w:val="en-US" w:eastAsia="zh-CN"/>
        </w:rPr>
        <w:t>局</w:t>
      </w:r>
      <w:r>
        <w:rPr>
          <w:rFonts w:ascii="仿宋_GB2312" w:hAnsi="Arial" w:eastAsia="仿宋_GB2312" w:cs="Arial"/>
          <w:color w:val="333333"/>
          <w:sz w:val="32"/>
          <w:szCs w:val="32"/>
          <w:shd w:val="clear" w:color="auto" w:fill="FFFFFF"/>
        </w:rPr>
        <w:t>、</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邮政管理局、</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财政</w:t>
      </w:r>
      <w:r>
        <w:rPr>
          <w:rFonts w:hint="eastAsia" w:ascii="仿宋_GB2312" w:hAnsi="Arial" w:eastAsia="仿宋_GB2312" w:cs="Arial"/>
          <w:color w:val="333333"/>
          <w:sz w:val="32"/>
          <w:szCs w:val="32"/>
          <w:shd w:val="clear" w:color="auto" w:fill="FFFFFF"/>
          <w:lang w:val="en-US" w:eastAsia="zh-CN"/>
        </w:rPr>
        <w:t>局、各县区人民政府</w:t>
      </w:r>
      <w:r>
        <w:rPr>
          <w:rFonts w:ascii="仿宋_GB2312" w:hAnsi="Arial" w:eastAsia="仿宋_GB2312" w:cs="Arial"/>
          <w:color w:val="333333"/>
          <w:sz w:val="32"/>
          <w:szCs w:val="32"/>
          <w:shd w:val="clear" w:color="auto" w:fill="FFFFFF"/>
        </w:rPr>
        <w:t>）</w:t>
      </w:r>
    </w:p>
    <w:p>
      <w:pPr>
        <w:keepNext w:val="0"/>
        <w:keepLines w:val="0"/>
        <w:pageBreakBefore w:val="0"/>
        <w:kinsoku/>
        <w:wordWrap/>
        <w:overflowPunct/>
        <w:topLinePunct w:val="0"/>
        <w:bidi w:val="0"/>
        <w:adjustRightInd/>
        <w:snapToGrid/>
        <w:spacing w:line="560" w:lineRule="exact"/>
        <w:ind w:firstLine="640" w:firstLineChars="200"/>
        <w:textAlignment w:val="auto"/>
        <w:rPr>
          <w:rFonts w:hint="eastAsia" w:ascii="黑体" w:eastAsia="黑体"/>
          <w:bCs/>
          <w:sz w:val="32"/>
          <w:szCs w:val="32"/>
          <w:shd w:val="clear" w:color="auto" w:fill="FFFFFF"/>
        </w:rPr>
      </w:pPr>
      <w:r>
        <w:rPr>
          <w:rFonts w:hint="eastAsia" w:ascii="黑体" w:eastAsia="黑体"/>
          <w:bCs/>
          <w:sz w:val="32"/>
          <w:szCs w:val="32"/>
          <w:shd w:val="clear" w:color="auto" w:fill="FFFFFF"/>
        </w:rPr>
        <w:t>四、旅游业纾困扶持措施</w:t>
      </w:r>
    </w:p>
    <w:p>
      <w:pPr>
        <w:pStyle w:val="13"/>
        <w:keepNext w:val="0"/>
        <w:keepLines w:val="0"/>
        <w:pageBreakBefore w:val="0"/>
        <w:widowControl w:val="0"/>
        <w:numPr>
          <w:ilvl w:val="0"/>
          <w:numId w:val="0"/>
        </w:numPr>
        <w:shd w:val="clear" w:color="auto" w:fill="auto"/>
        <w:tabs>
          <w:tab w:val="left" w:pos="490"/>
        </w:tabs>
        <w:kinsoku/>
        <w:wordWrap/>
        <w:overflowPunct/>
        <w:topLinePunct w:val="0"/>
        <w:autoSpaceDE/>
        <w:autoSpaceDN/>
        <w:bidi w:val="0"/>
        <w:adjustRightInd/>
        <w:snapToGrid/>
        <w:spacing w:before="0" w:after="0" w:line="560" w:lineRule="exact"/>
        <w:ind w:right="0" w:righ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pacing w:val="0"/>
          <w:w w:val="100"/>
          <w:position w:val="0"/>
          <w:sz w:val="32"/>
          <w:szCs w:val="32"/>
          <w:lang w:val="en-US" w:eastAsia="zh-CN"/>
        </w:rPr>
        <w:t>24.</w:t>
      </w:r>
      <w:r>
        <w:rPr>
          <w:rFonts w:hint="eastAsia" w:ascii="仿宋_GB2312" w:hAnsi="仿宋_GB2312" w:eastAsia="仿宋_GB2312" w:cs="仿宋_GB2312"/>
          <w:color w:val="000000"/>
          <w:spacing w:val="0"/>
          <w:w w:val="100"/>
          <w:position w:val="0"/>
          <w:sz w:val="32"/>
          <w:szCs w:val="32"/>
        </w:rPr>
        <w:t>继续实施旅行社暂退旅游服务质量保证金扶持政策，对符合条件的旅行社维持80%的暂退比例，鼓励有条件的地方进一步提高暂退比例</w:t>
      </w:r>
      <w:r>
        <w:rPr>
          <w:rFonts w:hint="eastAsia" w:ascii="仿宋_GB2312" w:hAnsi="仿宋_GB2312" w:eastAsia="仿宋_GB2312" w:cs="仿宋_GB2312"/>
          <w:color w:val="000000"/>
          <w:spacing w:val="0"/>
          <w:w w:val="100"/>
          <w:position w:val="0"/>
          <w:sz w:val="32"/>
          <w:szCs w:val="32"/>
          <w:lang w:eastAsia="zh-CN"/>
        </w:rPr>
        <w:t>。</w:t>
      </w:r>
      <w:r>
        <w:rPr>
          <w:rFonts w:hint="eastAsia" w:ascii="仿宋_GB2312" w:hAnsi="仿宋_GB2312" w:eastAsia="仿宋_GB2312" w:cs="仿宋_GB2312"/>
          <w:color w:val="000000"/>
          <w:spacing w:val="0"/>
          <w:w w:val="100"/>
          <w:position w:val="0"/>
          <w:sz w:val="32"/>
          <w:szCs w:val="32"/>
        </w:rPr>
        <w:t>支持机关企事业单位将符合规定举办的工会活动、培训、会展等活动交由旅行社承接。政府采购住宿、会议、餐饮等服务项目时，放宽星级、所有制等门槛限制。（市文旅局、市财政局、市总工会）</w:t>
      </w:r>
    </w:p>
    <w:p>
      <w:pPr>
        <w:keepNext w:val="0"/>
        <w:keepLines w:val="0"/>
        <w:pageBreakBefore w:val="0"/>
        <w:widowControl/>
        <w:kinsoku/>
        <w:wordWrap/>
        <w:overflowPunct/>
        <w:topLinePunct w:val="0"/>
        <w:bidi w:val="0"/>
        <w:adjustRightInd/>
        <w:snapToGrid/>
        <w:spacing w:line="560" w:lineRule="exact"/>
        <w:ind w:firstLine="640" w:firstLineChars="200"/>
        <w:jc w:val="both"/>
        <w:textAlignment w:val="auto"/>
        <w:rPr>
          <w:rFonts w:hint="eastAsia" w:ascii="黑体" w:eastAsia="仿宋_GB2312"/>
          <w:bCs/>
          <w:sz w:val="32"/>
          <w:szCs w:val="32"/>
          <w:shd w:val="clear" w:color="auto" w:fill="FFFFFF"/>
          <w:lang w:val="en-US" w:eastAsia="zh-CN"/>
        </w:rPr>
      </w:pPr>
      <w:r>
        <w:rPr>
          <w:rFonts w:hint="eastAsia" w:ascii="仿宋_GB2312" w:hAnsi="Arial" w:eastAsia="仿宋_GB2312" w:cs="Arial"/>
          <w:color w:val="333333"/>
          <w:sz w:val="32"/>
          <w:szCs w:val="32"/>
          <w:shd w:val="clear" w:color="auto" w:fill="FFFFFF"/>
          <w:lang w:val="en-US" w:eastAsia="zh-CN"/>
        </w:rPr>
        <w:t>25.</w:t>
      </w:r>
      <w:r>
        <w:rPr>
          <w:rFonts w:hint="eastAsia" w:ascii="仿宋_GB2312" w:hAnsi="宋体" w:eastAsia="仿宋_GB2312" w:cs="宋体"/>
          <w:kern w:val="0"/>
          <w:sz w:val="32"/>
          <w:szCs w:val="32"/>
        </w:rPr>
        <w:t>加强银企合作，建立健全重点旅游企业项目融资需求库， 引导金融机构对符合条件的、预期发展前景较好的 A 级旅游景区、旅游度假区、乡村旅游经营单位、星级酒店、旅行社等重点文化和旅游市场主体加大信贷投入，适当提高贷款额度。</w:t>
      </w:r>
      <w:r>
        <w:rPr>
          <w:rFonts w:hint="eastAsia" w:ascii="仿宋_GB2312" w:hAnsi="仿宋_GB2312" w:eastAsia="仿宋_GB2312" w:cs="仿宋_GB2312"/>
          <w:color w:val="000000"/>
          <w:spacing w:val="0"/>
          <w:w w:val="100"/>
          <w:position w:val="0"/>
          <w:sz w:val="32"/>
          <w:szCs w:val="32"/>
        </w:rPr>
        <w:t>（</w:t>
      </w:r>
      <w:r>
        <w:rPr>
          <w:rFonts w:hint="eastAsia" w:ascii="仿宋_GB2312" w:hAnsi="仿宋_GB2312" w:eastAsia="仿宋_GB2312" w:cs="仿宋_GB2312"/>
          <w:color w:val="000000"/>
          <w:spacing w:val="0"/>
          <w:w w:val="100"/>
          <w:position w:val="0"/>
          <w:sz w:val="32"/>
          <w:szCs w:val="32"/>
          <w:lang w:val="en-US" w:eastAsia="zh-CN"/>
        </w:rPr>
        <w:t>市地方金融监管局</w:t>
      </w:r>
      <w:r>
        <w:rPr>
          <w:rFonts w:hint="eastAsia" w:ascii="仿宋_GB2312" w:hAnsi="仿宋_GB2312" w:eastAsia="仿宋_GB2312" w:cs="仿宋_GB2312"/>
          <w:color w:val="000000"/>
          <w:spacing w:val="0"/>
          <w:w w:val="100"/>
          <w:position w:val="0"/>
          <w:sz w:val="32"/>
          <w:szCs w:val="32"/>
          <w:lang w:eastAsia="zh-CN"/>
        </w:rPr>
        <w:t>、</w:t>
      </w:r>
      <w:r>
        <w:rPr>
          <w:rFonts w:hint="eastAsia" w:ascii="仿宋_GB2312" w:hAnsi="仿宋_GB2312" w:eastAsia="仿宋_GB2312" w:cs="仿宋_GB2312"/>
          <w:color w:val="000000"/>
          <w:spacing w:val="0"/>
          <w:w w:val="100"/>
          <w:position w:val="0"/>
          <w:sz w:val="32"/>
          <w:szCs w:val="32"/>
        </w:rPr>
        <w:t>市文旅局</w:t>
      </w:r>
      <w:r>
        <w:rPr>
          <w:rFonts w:hint="eastAsia" w:ascii="仿宋_GB2312" w:hAnsi="仿宋_GB2312" w:eastAsia="仿宋_GB2312" w:cs="仿宋_GB2312"/>
          <w:color w:val="000000"/>
          <w:spacing w:val="0"/>
          <w:w w:val="100"/>
          <w:position w:val="0"/>
          <w:sz w:val="32"/>
          <w:szCs w:val="32"/>
          <w:lang w:eastAsia="zh-CN"/>
        </w:rPr>
        <w:t>、</w:t>
      </w:r>
      <w:r>
        <w:rPr>
          <w:rFonts w:hint="eastAsia" w:ascii="仿宋_GB2312" w:hAnsi="Arial" w:eastAsia="仿宋_GB2312" w:cs="Arial"/>
          <w:color w:val="333333"/>
          <w:sz w:val="32"/>
          <w:szCs w:val="32"/>
          <w:shd w:val="clear" w:color="auto" w:fill="FFFFFF"/>
          <w:lang w:val="en-US" w:eastAsia="zh-CN"/>
        </w:rPr>
        <w:t>各县区人民政府</w:t>
      </w:r>
      <w:r>
        <w:rPr>
          <w:rFonts w:hint="eastAsia" w:ascii="仿宋_GB2312" w:hAnsi="仿宋_GB2312" w:eastAsia="仿宋_GB2312" w:cs="仿宋_GB2312"/>
          <w:color w:val="000000"/>
          <w:spacing w:val="0"/>
          <w:w w:val="100"/>
          <w:position w:val="0"/>
          <w:sz w:val="32"/>
          <w:szCs w:val="32"/>
          <w:lang w:eastAsia="zh-CN"/>
        </w:rPr>
        <w:t>）</w:t>
      </w:r>
    </w:p>
    <w:p>
      <w:pPr>
        <w:keepNext w:val="0"/>
        <w:keepLines w:val="0"/>
        <w:pageBreakBefore w:val="0"/>
        <w:widowControl/>
        <w:kinsoku/>
        <w:wordWrap/>
        <w:overflowPunct/>
        <w:topLinePunct w:val="0"/>
        <w:bidi w:val="0"/>
        <w:adjustRightInd/>
        <w:snapToGrid/>
        <w:spacing w:line="560" w:lineRule="exact"/>
        <w:ind w:firstLine="640" w:firstLineChars="200"/>
        <w:jc w:val="left"/>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val="en-US" w:eastAsia="zh-CN"/>
        </w:rPr>
        <w:t>26.</w:t>
      </w:r>
      <w:r>
        <w:rPr>
          <w:rFonts w:hint="eastAsia" w:ascii="仿宋_GB2312" w:hAnsi="宋体" w:eastAsia="仿宋_GB2312" w:cs="宋体"/>
          <w:kern w:val="0"/>
          <w:sz w:val="32"/>
          <w:szCs w:val="32"/>
        </w:rPr>
        <w:t>政府采购住宿、会议、餐饮等服务项目时，严格执行经费支出额度规定，不得以星级、所有制等为门槛限制相关企业参与政府采购。</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市财政局、市文化和旅游局、</w:t>
      </w:r>
      <w:r>
        <w:rPr>
          <w:rFonts w:hint="eastAsia" w:ascii="仿宋_GB2312" w:hAnsi="Arial" w:eastAsia="仿宋_GB2312" w:cs="Arial"/>
          <w:color w:val="333333"/>
          <w:sz w:val="32"/>
          <w:szCs w:val="32"/>
          <w:shd w:val="clear" w:color="auto" w:fill="FFFFFF"/>
          <w:lang w:val="en-US" w:eastAsia="zh-CN"/>
        </w:rPr>
        <w:t>各县区人民政府</w:t>
      </w:r>
      <w:r>
        <w:rPr>
          <w:rFonts w:hint="eastAsia" w:ascii="仿宋_GB2312" w:hAnsi="宋体" w:eastAsia="仿宋_GB2312" w:cs="宋体"/>
          <w:kern w:val="0"/>
          <w:sz w:val="32"/>
          <w:szCs w:val="32"/>
          <w:lang w:eastAsia="zh-CN"/>
        </w:rPr>
        <w:t>）</w:t>
      </w:r>
    </w:p>
    <w:p>
      <w:pPr>
        <w:keepNext w:val="0"/>
        <w:keepLines w:val="0"/>
        <w:pageBreakBefore w:val="0"/>
        <w:widowControl/>
        <w:kinsoku/>
        <w:wordWrap/>
        <w:overflowPunct/>
        <w:topLinePunct w:val="0"/>
        <w:bidi w:val="0"/>
        <w:adjustRightInd/>
        <w:snapToGrid/>
        <w:spacing w:line="560" w:lineRule="exact"/>
        <w:ind w:firstLine="640" w:firstLineChars="200"/>
        <w:jc w:val="left"/>
        <w:textAlignment w:val="auto"/>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val="en-US" w:eastAsia="zh-CN"/>
        </w:rPr>
        <w:t>27.支持旅行社及相关运营机构按规定提供相关委托服务，积极参与政府相关采购活动。</w:t>
      </w:r>
      <w:r>
        <w:rPr>
          <w:rFonts w:hint="eastAsia" w:ascii="仿宋_GB2312" w:hAnsi="宋体" w:eastAsia="仿宋_GB2312" w:cs="宋体"/>
          <w:kern w:val="0"/>
          <w:sz w:val="32"/>
          <w:szCs w:val="32"/>
        </w:rPr>
        <w:t>鼓励</w:t>
      </w:r>
      <w:r>
        <w:rPr>
          <w:rFonts w:hint="eastAsia" w:ascii="仿宋_GB2312" w:hAnsi="宋体" w:eastAsia="仿宋_GB2312" w:cs="宋体"/>
          <w:kern w:val="0"/>
          <w:sz w:val="32"/>
          <w:szCs w:val="32"/>
          <w:lang w:val="en-US" w:eastAsia="zh-CN"/>
        </w:rPr>
        <w:t>各级党政</w:t>
      </w:r>
      <w:r>
        <w:rPr>
          <w:rFonts w:hint="eastAsia" w:ascii="仿宋_GB2312" w:hAnsi="宋体" w:eastAsia="仿宋_GB2312" w:cs="宋体"/>
          <w:kern w:val="0"/>
          <w:sz w:val="32"/>
          <w:szCs w:val="32"/>
        </w:rPr>
        <w:t>机关</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各</w:t>
      </w:r>
      <w:r>
        <w:rPr>
          <w:rFonts w:hint="eastAsia" w:ascii="仿宋_GB2312" w:hAnsi="宋体" w:eastAsia="仿宋_GB2312" w:cs="宋体"/>
          <w:kern w:val="0"/>
          <w:sz w:val="32"/>
          <w:szCs w:val="32"/>
        </w:rPr>
        <w:t>企事业单位</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社会团体组织</w:t>
      </w:r>
      <w:r>
        <w:rPr>
          <w:rFonts w:hint="eastAsia" w:ascii="仿宋_GB2312" w:hAnsi="宋体" w:eastAsia="仿宋_GB2312" w:cs="宋体"/>
          <w:kern w:val="0"/>
          <w:sz w:val="32"/>
          <w:szCs w:val="32"/>
        </w:rPr>
        <w:t>将符合规定举办的工会活动、会展活动</w:t>
      </w:r>
      <w:r>
        <w:rPr>
          <w:rFonts w:hint="eastAsia" w:ascii="仿宋_GB2312" w:hAnsi="宋体" w:eastAsia="仿宋_GB2312" w:cs="宋体"/>
          <w:kern w:val="0"/>
          <w:sz w:val="32"/>
          <w:szCs w:val="32"/>
          <w:lang w:val="en-US" w:eastAsia="zh-CN"/>
        </w:rPr>
        <w:t>等</w:t>
      </w:r>
      <w:r>
        <w:rPr>
          <w:rFonts w:hint="eastAsia" w:ascii="仿宋_GB2312" w:hAnsi="宋体" w:eastAsia="仿宋_GB2312" w:cs="宋体"/>
          <w:kern w:val="0"/>
          <w:sz w:val="32"/>
          <w:szCs w:val="32"/>
        </w:rPr>
        <w:t>交由旅行社承接，明确服务内容、服务标准等细化要求，加强资金使用管理，合理确定预付款比例，并按照合同约定及时向旅行社支付资金。</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市总工会、市文化和旅游局、市财政局、</w:t>
      </w:r>
      <w:r>
        <w:rPr>
          <w:rFonts w:hint="eastAsia" w:ascii="仿宋_GB2312" w:hAnsi="Arial" w:eastAsia="仿宋_GB2312" w:cs="Arial"/>
          <w:color w:val="333333"/>
          <w:sz w:val="32"/>
          <w:szCs w:val="32"/>
          <w:shd w:val="clear" w:color="auto" w:fill="FFFFFF"/>
          <w:lang w:val="en-US" w:eastAsia="zh-CN"/>
        </w:rPr>
        <w:t>各县区人民政府</w:t>
      </w:r>
      <w:r>
        <w:rPr>
          <w:rFonts w:hint="eastAsia" w:ascii="仿宋_GB2312" w:hAnsi="宋体" w:eastAsia="仿宋_GB2312" w:cs="宋体"/>
          <w:kern w:val="0"/>
          <w:sz w:val="32"/>
          <w:szCs w:val="32"/>
          <w:lang w:eastAsia="zh-CN"/>
        </w:rPr>
        <w:t>）</w:t>
      </w:r>
    </w:p>
    <w:p>
      <w:pPr>
        <w:keepNext w:val="0"/>
        <w:keepLines w:val="0"/>
        <w:pageBreakBefore w:val="0"/>
        <w:kinsoku/>
        <w:wordWrap/>
        <w:overflowPunct/>
        <w:topLinePunct w:val="0"/>
        <w:bidi w:val="0"/>
        <w:adjustRightInd/>
        <w:snapToGrid/>
        <w:spacing w:line="560" w:lineRule="exact"/>
        <w:ind w:firstLine="640" w:firstLineChars="200"/>
        <w:textAlignment w:val="auto"/>
        <w:rPr>
          <w:rFonts w:hint="eastAsia" w:ascii="黑体" w:hAnsi="Arial" w:eastAsia="黑体" w:cs="Arial"/>
          <w:color w:val="333333"/>
          <w:sz w:val="32"/>
          <w:szCs w:val="32"/>
          <w:shd w:val="clear" w:color="auto" w:fill="FFFFFF"/>
        </w:rPr>
      </w:pPr>
      <w:r>
        <w:rPr>
          <w:rFonts w:hint="eastAsia" w:ascii="黑体" w:eastAsia="黑体"/>
          <w:bCs/>
          <w:sz w:val="32"/>
          <w:szCs w:val="32"/>
          <w:shd w:val="clear" w:color="auto" w:fill="FFFFFF"/>
        </w:rPr>
        <w:t>五、公路水路铁路运输业纾困扶持措施</w:t>
      </w:r>
    </w:p>
    <w:p>
      <w:pPr>
        <w:keepNext w:val="0"/>
        <w:keepLines w:val="0"/>
        <w:pageBreakBefore w:val="0"/>
        <w:widowControl/>
        <w:kinsoku/>
        <w:wordWrap/>
        <w:overflowPunct/>
        <w:topLinePunct w:val="0"/>
        <w:bidi w:val="0"/>
        <w:adjustRightInd/>
        <w:snapToGrid/>
        <w:spacing w:line="560" w:lineRule="exact"/>
        <w:ind w:firstLine="640" w:firstLineChars="200"/>
        <w:jc w:val="left"/>
        <w:textAlignment w:val="auto"/>
        <w:rPr>
          <w:rFonts w:hint="eastAsia" w:ascii="仿宋_GB2312" w:hAnsi="宋体" w:eastAsia="仿宋_GB2312" w:cs="宋体"/>
          <w:kern w:val="0"/>
          <w:sz w:val="32"/>
          <w:szCs w:val="32"/>
          <w:lang w:eastAsia="zh-CN"/>
        </w:rPr>
      </w:pPr>
      <w:r>
        <w:rPr>
          <w:rFonts w:hint="eastAsia" w:ascii="仿宋_GB2312" w:hAnsi="Arial" w:eastAsia="仿宋_GB2312" w:cs="Arial"/>
          <w:color w:val="333333"/>
          <w:sz w:val="32"/>
          <w:szCs w:val="32"/>
          <w:shd w:val="clear" w:color="auto" w:fill="FFFFFF"/>
          <w:lang w:val="en-US" w:eastAsia="zh-CN"/>
        </w:rPr>
        <w:t>28.</w:t>
      </w:r>
      <w:r>
        <w:rPr>
          <w:rFonts w:hint="eastAsia" w:ascii="仿宋_GB2312" w:hAnsi="宋体" w:eastAsia="仿宋_GB2312" w:cs="宋体"/>
          <w:kern w:val="0"/>
          <w:sz w:val="32"/>
          <w:szCs w:val="32"/>
        </w:rPr>
        <w:t>2022 年免征轮客渡、公交客运、出租车、长途客运、班车等公共交通运输服务增值税。</w:t>
      </w:r>
      <w:r>
        <w:rPr>
          <w:rFonts w:hint="eastAsia" w:ascii="仿宋_GB2312" w:hAnsi="宋体" w:eastAsia="仿宋_GB2312" w:cs="宋体"/>
          <w:kern w:val="0"/>
          <w:sz w:val="32"/>
          <w:szCs w:val="32"/>
          <w:lang w:eastAsia="zh-CN"/>
        </w:rPr>
        <w:t>（</w:t>
      </w:r>
      <w:r>
        <w:rPr>
          <w:rFonts w:hint="eastAsia" w:ascii="仿宋_GB2312" w:hAnsi="宋体" w:eastAsia="仿宋_GB2312" w:cs="宋体"/>
          <w:kern w:val="0"/>
          <w:sz w:val="32"/>
          <w:szCs w:val="32"/>
          <w:lang w:val="en-US" w:eastAsia="zh-CN"/>
        </w:rPr>
        <w:t>市交通运输局、市税务局</w:t>
      </w:r>
      <w:r>
        <w:rPr>
          <w:rFonts w:hint="eastAsia" w:ascii="仿宋_GB2312" w:hAnsi="宋体" w:eastAsia="仿宋_GB2312" w:cs="宋体"/>
          <w:kern w:val="0"/>
          <w:sz w:val="32"/>
          <w:szCs w:val="32"/>
          <w:lang w:eastAsia="zh-CN"/>
        </w:rPr>
        <w:t>）</w:t>
      </w:r>
    </w:p>
    <w:p>
      <w:pPr>
        <w:keepNext w:val="0"/>
        <w:keepLines w:val="0"/>
        <w:pageBreakBefore w:val="0"/>
        <w:widowControl/>
        <w:kinsoku/>
        <w:wordWrap/>
        <w:overflowPunct/>
        <w:topLinePunct w:val="0"/>
        <w:bidi w:val="0"/>
        <w:adjustRightInd/>
        <w:snapToGrid/>
        <w:spacing w:line="560" w:lineRule="exact"/>
        <w:ind w:firstLine="640" w:firstLineChars="200"/>
        <w:jc w:val="left"/>
        <w:textAlignment w:val="auto"/>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29.积极争取对符合要求的新能源公交车购置补贴，积极争取中央车辆购置税收入对地方资金的补助。（市税务局、市交通运输局、市财政局）</w:t>
      </w:r>
    </w:p>
    <w:p>
      <w:pPr>
        <w:keepNext w:val="0"/>
        <w:keepLines w:val="0"/>
        <w:pageBreakBefore w:val="0"/>
        <w:kinsoku/>
        <w:wordWrap/>
        <w:overflowPunct/>
        <w:topLinePunct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ascii="仿宋_GB2312" w:hAnsi="Arial" w:eastAsia="仿宋_GB2312" w:cs="Arial"/>
          <w:color w:val="333333"/>
          <w:sz w:val="32"/>
          <w:szCs w:val="32"/>
          <w:shd w:val="clear" w:color="auto" w:fill="FFFFFF"/>
        </w:rPr>
        <w:t>3</w:t>
      </w:r>
      <w:r>
        <w:rPr>
          <w:rFonts w:hint="eastAsia" w:ascii="仿宋_GB2312" w:hAnsi="Arial" w:eastAsia="仿宋_GB2312" w:cs="Arial"/>
          <w:color w:val="333333"/>
          <w:sz w:val="32"/>
          <w:szCs w:val="32"/>
          <w:shd w:val="clear" w:color="auto" w:fill="FFFFFF"/>
          <w:lang w:val="en-US" w:eastAsia="zh-CN"/>
        </w:rPr>
        <w:t>0.</w:t>
      </w:r>
      <w:r>
        <w:rPr>
          <w:rFonts w:ascii="仿宋_GB2312" w:hAnsi="Arial" w:eastAsia="仿宋_GB2312" w:cs="Arial"/>
          <w:color w:val="333333"/>
          <w:sz w:val="32"/>
          <w:szCs w:val="32"/>
          <w:shd w:val="clear" w:color="auto" w:fill="FFFFFF"/>
        </w:rPr>
        <w:t>2022年继续将货车、挂车、专用作业车、轮式专用机械车、摩托车和1.0升（含）以下乘用车的车船税年税额标准降至法定最低标准。（</w:t>
      </w:r>
      <w:r>
        <w:rPr>
          <w:rFonts w:hint="eastAsia" w:ascii="仿宋_GB2312" w:hAnsi="Arial" w:eastAsia="仿宋_GB2312" w:cs="Arial"/>
          <w:color w:val="333333"/>
          <w:sz w:val="32"/>
          <w:szCs w:val="32"/>
          <w:shd w:val="clear" w:color="auto" w:fill="FFFFFF"/>
          <w:lang w:val="en-US" w:eastAsia="zh-CN"/>
        </w:rPr>
        <w:t>市</w:t>
      </w:r>
      <w:r>
        <w:rPr>
          <w:rFonts w:ascii="仿宋_GB2312" w:hAnsi="Arial" w:eastAsia="仿宋_GB2312" w:cs="Arial"/>
          <w:color w:val="333333"/>
          <w:sz w:val="32"/>
          <w:szCs w:val="32"/>
          <w:shd w:val="clear" w:color="auto" w:fill="FFFFFF"/>
        </w:rPr>
        <w:t>税务局</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发展改革委、</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交通运输</w:t>
      </w:r>
      <w:r>
        <w:rPr>
          <w:rFonts w:hint="eastAsia" w:ascii="仿宋_GB2312" w:hAnsi="Arial" w:eastAsia="仿宋_GB2312" w:cs="Arial"/>
          <w:color w:val="333333"/>
          <w:sz w:val="32"/>
          <w:szCs w:val="32"/>
          <w:shd w:val="clear" w:color="auto" w:fill="FFFFFF"/>
          <w:lang w:val="en-US" w:eastAsia="zh-CN"/>
        </w:rPr>
        <w:t>局</w:t>
      </w:r>
      <w:r>
        <w:rPr>
          <w:rFonts w:ascii="仿宋_GB2312" w:hAnsi="Arial" w:eastAsia="仿宋_GB2312" w:cs="Arial"/>
          <w:color w:val="333333"/>
          <w:sz w:val="32"/>
          <w:szCs w:val="32"/>
          <w:shd w:val="clear" w:color="auto" w:fill="FFFFFF"/>
        </w:rPr>
        <w:t>）</w:t>
      </w:r>
    </w:p>
    <w:p>
      <w:pPr>
        <w:keepNext w:val="0"/>
        <w:keepLines w:val="0"/>
        <w:pageBreakBefore w:val="0"/>
        <w:kinsoku/>
        <w:wordWrap/>
        <w:overflowPunct/>
        <w:topLinePunct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lang w:val="en-US" w:eastAsia="zh-CN"/>
        </w:rPr>
        <w:t>31.</w:t>
      </w:r>
      <w:r>
        <w:rPr>
          <w:rFonts w:ascii="仿宋_GB2312" w:hAnsi="Arial" w:eastAsia="仿宋_GB2312" w:cs="Arial"/>
          <w:color w:val="333333"/>
          <w:sz w:val="32"/>
          <w:szCs w:val="32"/>
          <w:shd w:val="clear" w:color="auto" w:fill="FFFFFF"/>
        </w:rPr>
        <w:t>加强信息共享，发挥动态监控数据作用，引导金融机构创新符合道路水路运输企业特点的动产质押类贷款产品，盘活车辆、船舶等资产。鼓励金融机构按市场化原则对信用等级较高、承担疫情防控和应急运输任务较重的交通运输企业加大融资支持力度。各级交通运输部门梳理企业清单对接金融机构。（</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地方金融监管局</w:t>
      </w:r>
      <w:r>
        <w:rPr>
          <w:rFonts w:hint="eastAsia" w:ascii="仿宋_GB2312" w:hAnsi="Arial" w:eastAsia="仿宋_GB2312" w:cs="Arial"/>
          <w:color w:val="333333"/>
          <w:sz w:val="32"/>
          <w:szCs w:val="32"/>
          <w:shd w:val="clear" w:color="auto" w:fill="FFFFFF"/>
          <w:lang w:eastAsia="zh-CN"/>
        </w:rPr>
        <w:t>、</w:t>
      </w:r>
      <w:r>
        <w:rPr>
          <w:rFonts w:ascii="仿宋_GB2312" w:hAnsi="Arial" w:eastAsia="仿宋_GB2312" w:cs="Arial"/>
          <w:color w:val="333333"/>
          <w:sz w:val="32"/>
          <w:szCs w:val="32"/>
          <w:shd w:val="clear" w:color="auto" w:fill="FFFFFF"/>
        </w:rPr>
        <w:t>人行</w:t>
      </w:r>
      <w:r>
        <w:rPr>
          <w:rFonts w:hint="eastAsia" w:ascii="仿宋_GB2312" w:hAnsi="Arial" w:eastAsia="仿宋_GB2312" w:cs="Arial"/>
          <w:color w:val="333333"/>
          <w:sz w:val="32"/>
          <w:szCs w:val="32"/>
          <w:shd w:val="clear" w:color="auto" w:fill="FFFFFF"/>
          <w:lang w:val="en-US" w:eastAsia="zh-CN"/>
        </w:rPr>
        <w:t>池州市</w:t>
      </w:r>
      <w:r>
        <w:rPr>
          <w:rFonts w:ascii="仿宋_GB2312" w:hAnsi="Arial" w:eastAsia="仿宋_GB2312" w:cs="Arial"/>
          <w:color w:val="333333"/>
          <w:sz w:val="32"/>
          <w:szCs w:val="32"/>
          <w:shd w:val="clear" w:color="auto" w:fill="FFFFFF"/>
        </w:rPr>
        <w:t>中心支行、</w:t>
      </w:r>
      <w:r>
        <w:rPr>
          <w:rFonts w:hint="eastAsia" w:ascii="仿宋_GB2312" w:hAnsi="Arial" w:eastAsia="仿宋_GB2312" w:cs="Arial"/>
          <w:color w:val="333333"/>
          <w:sz w:val="32"/>
          <w:szCs w:val="32"/>
          <w:shd w:val="clear" w:color="auto" w:fill="FFFFFF"/>
          <w:lang w:val="en-US" w:eastAsia="zh-CN"/>
        </w:rPr>
        <w:t>池州</w:t>
      </w:r>
      <w:r>
        <w:rPr>
          <w:rFonts w:ascii="仿宋_GB2312" w:hAnsi="Arial" w:eastAsia="仿宋_GB2312" w:cs="Arial"/>
          <w:color w:val="333333"/>
          <w:sz w:val="32"/>
          <w:szCs w:val="32"/>
          <w:shd w:val="clear" w:color="auto" w:fill="FFFFFF"/>
        </w:rPr>
        <w:t>银保监</w:t>
      </w:r>
      <w:r>
        <w:rPr>
          <w:rFonts w:hint="eastAsia" w:ascii="仿宋_GB2312" w:hAnsi="Arial" w:eastAsia="仿宋_GB2312" w:cs="Arial"/>
          <w:color w:val="333333"/>
          <w:sz w:val="32"/>
          <w:szCs w:val="32"/>
          <w:shd w:val="clear" w:color="auto" w:fill="FFFFFF"/>
          <w:lang w:val="en-US" w:eastAsia="zh-CN"/>
        </w:rPr>
        <w:t>分</w:t>
      </w:r>
      <w:r>
        <w:rPr>
          <w:rFonts w:ascii="仿宋_GB2312" w:hAnsi="Arial" w:eastAsia="仿宋_GB2312" w:cs="Arial"/>
          <w:color w:val="333333"/>
          <w:sz w:val="32"/>
          <w:szCs w:val="32"/>
          <w:shd w:val="clear" w:color="auto" w:fill="FFFFFF"/>
        </w:rPr>
        <w:t>局、</w:t>
      </w:r>
      <w:r>
        <w:rPr>
          <w:rFonts w:hint="eastAsia" w:ascii="仿宋_GB2312" w:hAnsi="Arial" w:eastAsia="仿宋_GB2312" w:cs="Arial"/>
          <w:color w:val="333333"/>
          <w:sz w:val="32"/>
          <w:szCs w:val="32"/>
          <w:shd w:val="clear" w:color="auto" w:fill="FFFFFF"/>
          <w:lang w:eastAsia="zh-CN"/>
        </w:rPr>
        <w:t>市</w:t>
      </w:r>
      <w:r>
        <w:rPr>
          <w:rFonts w:ascii="仿宋_GB2312" w:hAnsi="Arial" w:eastAsia="仿宋_GB2312" w:cs="Arial"/>
          <w:color w:val="333333"/>
          <w:sz w:val="32"/>
          <w:szCs w:val="32"/>
          <w:shd w:val="clear" w:color="auto" w:fill="FFFFFF"/>
        </w:rPr>
        <w:t>交通运输</w:t>
      </w:r>
      <w:r>
        <w:rPr>
          <w:rFonts w:hint="eastAsia" w:ascii="仿宋_GB2312" w:hAnsi="Arial" w:eastAsia="仿宋_GB2312" w:cs="Arial"/>
          <w:color w:val="333333"/>
          <w:sz w:val="32"/>
          <w:szCs w:val="32"/>
          <w:shd w:val="clear" w:color="auto" w:fill="FFFFFF"/>
          <w:lang w:val="en-US" w:eastAsia="zh-CN"/>
        </w:rPr>
        <w:t>局</w:t>
      </w:r>
      <w:r>
        <w:rPr>
          <w:rFonts w:ascii="仿宋_GB2312" w:hAnsi="Arial" w:eastAsia="仿宋_GB2312" w:cs="Arial"/>
          <w:color w:val="333333"/>
          <w:sz w:val="32"/>
          <w:szCs w:val="32"/>
          <w:shd w:val="clear" w:color="auto" w:fill="FFFFFF"/>
        </w:rPr>
        <w:t>）</w:t>
      </w:r>
    </w:p>
    <w:p>
      <w:pPr>
        <w:keepNext w:val="0"/>
        <w:keepLines w:val="0"/>
        <w:pageBreakBefore w:val="0"/>
        <w:kinsoku/>
        <w:wordWrap/>
        <w:overflowPunct/>
        <w:topLinePunct w:val="0"/>
        <w:bidi w:val="0"/>
        <w:adjustRightInd/>
        <w:snapToGrid/>
        <w:spacing w:line="560" w:lineRule="exact"/>
        <w:ind w:firstLine="640" w:firstLineChars="200"/>
        <w:textAlignment w:val="auto"/>
        <w:rPr>
          <w:rFonts w:hint="eastAsia" w:ascii="黑体" w:hAnsi="Arial" w:eastAsia="黑体" w:cs="Arial"/>
          <w:color w:val="333333"/>
          <w:sz w:val="32"/>
          <w:szCs w:val="32"/>
          <w:shd w:val="clear" w:color="auto" w:fill="FFFFFF"/>
        </w:rPr>
      </w:pPr>
      <w:r>
        <w:rPr>
          <w:rFonts w:hint="eastAsia" w:ascii="黑体" w:eastAsia="黑体"/>
          <w:bCs/>
          <w:sz w:val="32"/>
          <w:szCs w:val="32"/>
          <w:shd w:val="clear" w:color="auto" w:fill="FFFFFF"/>
        </w:rPr>
        <w:t>六、精准实施疫情防控措施</w:t>
      </w:r>
    </w:p>
    <w:p>
      <w:pPr>
        <w:keepNext w:val="0"/>
        <w:keepLines w:val="0"/>
        <w:pageBreakBefore w:val="0"/>
        <w:kinsoku/>
        <w:wordWrap/>
        <w:overflowPunct/>
        <w:topLinePunct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lang w:val="en-US" w:eastAsia="zh-CN"/>
        </w:rPr>
        <w:t>32</w:t>
      </w:r>
      <w:r>
        <w:rPr>
          <w:rFonts w:ascii="仿宋_GB2312" w:hAnsi="Arial" w:eastAsia="仿宋_GB2312" w:cs="Arial"/>
          <w:color w:val="333333"/>
          <w:sz w:val="32"/>
          <w:szCs w:val="32"/>
          <w:shd w:val="clear" w:color="auto" w:fill="FFFFFF"/>
        </w:rPr>
        <w:t>．认真落实严格、科学、精准的疫情防控措施，</w:t>
      </w:r>
      <w:r>
        <w:rPr>
          <w:rFonts w:hint="eastAsia" w:ascii="仿宋_GB2312" w:hAnsi="Arial" w:eastAsia="仿宋_GB2312" w:cs="Arial"/>
          <w:color w:val="333333"/>
          <w:sz w:val="32"/>
          <w:szCs w:val="32"/>
          <w:shd w:val="clear" w:color="auto" w:fill="FFFFFF"/>
          <w:lang w:val="en-US" w:eastAsia="zh-CN"/>
        </w:rPr>
        <w:t>及时发布防控策略，</w:t>
      </w:r>
      <w:r>
        <w:rPr>
          <w:rFonts w:ascii="仿宋_GB2312" w:hAnsi="Arial" w:eastAsia="仿宋_GB2312" w:cs="Arial"/>
          <w:color w:val="333333"/>
          <w:sz w:val="32"/>
          <w:szCs w:val="32"/>
          <w:shd w:val="clear" w:color="auto" w:fill="FFFFFF"/>
        </w:rPr>
        <w:t>坚决防止和避免“放松防控”和“过度防控”两种倾向，按照建立精准监测机制、提升精准识别能力、强化精准管控隔离、推广精准防护理念的要求，</w:t>
      </w:r>
      <w:r>
        <w:rPr>
          <w:rFonts w:hint="eastAsia" w:ascii="仿宋_GB2312" w:hAnsi="Arial" w:eastAsia="仿宋_GB2312" w:cs="Arial"/>
          <w:color w:val="333333"/>
          <w:sz w:val="32"/>
          <w:szCs w:val="32"/>
          <w:shd w:val="clear" w:color="auto" w:fill="FFFFFF"/>
          <w:lang w:val="en-US" w:eastAsia="zh-CN"/>
        </w:rPr>
        <w:t>提高疫情防控技术指导，</w:t>
      </w:r>
      <w:r>
        <w:rPr>
          <w:rFonts w:ascii="仿宋_GB2312" w:hAnsi="Arial" w:eastAsia="仿宋_GB2312" w:cs="Arial"/>
          <w:color w:val="333333"/>
          <w:sz w:val="32"/>
          <w:szCs w:val="32"/>
          <w:shd w:val="clear" w:color="auto" w:fill="FFFFFF"/>
        </w:rPr>
        <w:t>有效恢复和保持服务业发展正常秩序。（</w:t>
      </w:r>
      <w:r>
        <w:rPr>
          <w:rFonts w:hint="eastAsia" w:ascii="仿宋_GB2312" w:hAnsi="Arial" w:eastAsia="仿宋_GB2312" w:cs="Arial"/>
          <w:color w:val="333333"/>
          <w:sz w:val="32"/>
          <w:szCs w:val="32"/>
          <w:shd w:val="clear" w:color="auto" w:fill="FFFFFF"/>
          <w:lang w:val="en-US" w:eastAsia="zh-CN"/>
        </w:rPr>
        <w:t>市</w:t>
      </w:r>
      <w:r>
        <w:rPr>
          <w:rFonts w:ascii="仿宋_GB2312" w:hAnsi="Arial" w:eastAsia="仿宋_GB2312" w:cs="Arial"/>
          <w:color w:val="333333"/>
          <w:sz w:val="32"/>
          <w:szCs w:val="32"/>
          <w:shd w:val="clear" w:color="auto" w:fill="FFFFFF"/>
        </w:rPr>
        <w:t>疫防办</w:t>
      </w:r>
      <w:r>
        <w:rPr>
          <w:rFonts w:hint="eastAsia" w:ascii="仿宋_GB2312" w:hAnsi="Arial" w:eastAsia="仿宋_GB2312" w:cs="Arial"/>
          <w:color w:val="333333"/>
          <w:sz w:val="32"/>
          <w:szCs w:val="32"/>
          <w:shd w:val="clear" w:color="auto" w:fill="FFFFFF"/>
          <w:lang w:eastAsia="zh-CN"/>
        </w:rPr>
        <w:t>、</w:t>
      </w:r>
      <w:r>
        <w:rPr>
          <w:rFonts w:hint="eastAsia" w:ascii="仿宋_GB2312" w:hAnsi="Arial" w:eastAsia="仿宋_GB2312" w:cs="Arial"/>
          <w:color w:val="333333"/>
          <w:sz w:val="32"/>
          <w:szCs w:val="32"/>
          <w:shd w:val="clear" w:color="auto" w:fill="FFFFFF"/>
          <w:lang w:val="en-US" w:eastAsia="zh-CN"/>
        </w:rPr>
        <w:t>各县区人民政府</w:t>
      </w:r>
      <w:r>
        <w:rPr>
          <w:rFonts w:ascii="仿宋_GB2312" w:hAnsi="Arial" w:eastAsia="仿宋_GB2312" w:cs="Arial"/>
          <w:color w:val="333333"/>
          <w:sz w:val="32"/>
          <w:szCs w:val="32"/>
          <w:shd w:val="clear" w:color="auto" w:fill="FFFFFF"/>
        </w:rPr>
        <w:t>）</w:t>
      </w:r>
    </w:p>
    <w:p>
      <w:pPr>
        <w:keepNext w:val="0"/>
        <w:keepLines w:val="0"/>
        <w:pageBreakBefore w:val="0"/>
        <w:kinsoku/>
        <w:wordWrap/>
        <w:overflowPunct/>
        <w:topLinePunct w:val="0"/>
        <w:bidi w:val="0"/>
        <w:adjustRightInd/>
        <w:snapToGrid/>
        <w:spacing w:line="560" w:lineRule="exact"/>
        <w:ind w:firstLine="640" w:firstLineChars="200"/>
        <w:textAlignment w:val="auto"/>
        <w:rPr>
          <w:rFonts w:ascii="仿宋_GB2312" w:hAnsi="Arial" w:eastAsia="仿宋_GB2312" w:cs="Arial"/>
          <w:color w:val="333333"/>
          <w:sz w:val="32"/>
          <w:szCs w:val="32"/>
          <w:shd w:val="clear" w:color="auto" w:fill="FFFFFF"/>
        </w:rPr>
      </w:pPr>
      <w:r>
        <w:rPr>
          <w:rFonts w:hint="eastAsia" w:ascii="仿宋_GB2312" w:hAnsi="Arial" w:eastAsia="仿宋_GB2312" w:cs="Arial"/>
          <w:color w:val="333333"/>
          <w:sz w:val="32"/>
          <w:szCs w:val="32"/>
          <w:shd w:val="clear" w:color="auto" w:fill="FFFFFF"/>
          <w:lang w:val="en-US" w:eastAsia="zh-CN"/>
        </w:rPr>
        <w:t>33</w:t>
      </w:r>
      <w:r>
        <w:rPr>
          <w:rFonts w:ascii="仿宋_GB2312" w:hAnsi="Arial" w:eastAsia="仿宋_GB2312" w:cs="Arial"/>
          <w:color w:val="333333"/>
          <w:sz w:val="32"/>
          <w:szCs w:val="32"/>
          <w:shd w:val="clear" w:color="auto" w:fill="FFFFFF"/>
        </w:rPr>
        <w:t>．在严格落实国务院联防联控机制综合组防疫政策“五个不得”要求的基础上，落实进一步对服务业行业提出精准防疫的“三个不得”要求。</w:t>
      </w:r>
      <w:r>
        <w:rPr>
          <w:rFonts w:hint="eastAsia" w:ascii="仿宋_GB2312" w:hAnsi="Arial" w:eastAsia="仿宋_GB2312" w:cs="Arial"/>
          <w:color w:val="333333"/>
          <w:sz w:val="32"/>
          <w:szCs w:val="32"/>
          <w:shd w:val="clear" w:color="auto" w:fill="FFFFFF"/>
          <w:lang w:val="en-US" w:eastAsia="zh-CN"/>
        </w:rPr>
        <w:t>及时发布疫情防控策略，加强疫情防控知识和宣传工作。针对服务业行业特点，高效解决在执行疫情防控政策中层层加码问题反映、核实、纠正等工作。</w:t>
      </w:r>
      <w:r>
        <w:rPr>
          <w:rFonts w:ascii="仿宋_GB2312" w:hAnsi="Arial" w:eastAsia="仿宋_GB2312" w:cs="Arial"/>
          <w:color w:val="333333"/>
          <w:sz w:val="32"/>
          <w:szCs w:val="32"/>
          <w:shd w:val="clear" w:color="auto" w:fill="FFFFFF"/>
        </w:rPr>
        <w:t>（</w:t>
      </w:r>
      <w:r>
        <w:rPr>
          <w:rFonts w:hint="eastAsia" w:ascii="仿宋_GB2312" w:hAnsi="Arial" w:eastAsia="仿宋_GB2312" w:cs="Arial"/>
          <w:color w:val="333333"/>
          <w:sz w:val="32"/>
          <w:szCs w:val="32"/>
          <w:shd w:val="clear" w:color="auto" w:fill="FFFFFF"/>
          <w:lang w:val="en-US" w:eastAsia="zh-CN"/>
        </w:rPr>
        <w:t>市</w:t>
      </w:r>
      <w:r>
        <w:rPr>
          <w:rFonts w:ascii="仿宋_GB2312" w:hAnsi="Arial" w:eastAsia="仿宋_GB2312" w:cs="Arial"/>
          <w:color w:val="333333"/>
          <w:sz w:val="32"/>
          <w:szCs w:val="32"/>
          <w:shd w:val="clear" w:color="auto" w:fill="FFFFFF"/>
        </w:rPr>
        <w:t>疫防办</w:t>
      </w:r>
      <w:r>
        <w:rPr>
          <w:rFonts w:hint="eastAsia" w:ascii="仿宋_GB2312" w:hAnsi="Arial" w:eastAsia="仿宋_GB2312" w:cs="Arial"/>
          <w:color w:val="333333"/>
          <w:sz w:val="32"/>
          <w:szCs w:val="32"/>
          <w:shd w:val="clear" w:color="auto" w:fill="FFFFFF"/>
          <w:lang w:eastAsia="zh-CN"/>
        </w:rPr>
        <w:t>、</w:t>
      </w:r>
      <w:r>
        <w:rPr>
          <w:rFonts w:hint="eastAsia" w:ascii="仿宋_GB2312" w:hAnsi="Arial" w:eastAsia="仿宋_GB2312" w:cs="Arial"/>
          <w:color w:val="333333"/>
          <w:sz w:val="32"/>
          <w:szCs w:val="32"/>
          <w:shd w:val="clear" w:color="auto" w:fill="FFFFFF"/>
          <w:lang w:val="en-US" w:eastAsia="zh-CN"/>
        </w:rPr>
        <w:t>市疫情防控应急综合指挥部各成员单位、各县区人民政府</w:t>
      </w:r>
      <w:r>
        <w:rPr>
          <w:rFonts w:ascii="仿宋_GB2312" w:hAnsi="Arial" w:eastAsia="仿宋_GB2312" w:cs="Arial"/>
          <w:color w:val="333333"/>
          <w:sz w:val="32"/>
          <w:szCs w:val="32"/>
          <w:shd w:val="clear" w:color="auto" w:fill="FFFFFF"/>
        </w:rPr>
        <w:t>）</w:t>
      </w:r>
    </w:p>
    <w:p>
      <w:pPr>
        <w:keepNext w:val="0"/>
        <w:keepLines w:val="0"/>
        <w:pageBreakBefore w:val="0"/>
        <w:kinsoku/>
        <w:wordWrap/>
        <w:overflowPunct/>
        <w:topLinePunct w:val="0"/>
        <w:bidi w:val="0"/>
        <w:adjustRightInd/>
        <w:snapToGrid/>
        <w:spacing w:line="560" w:lineRule="exact"/>
        <w:ind w:firstLine="640" w:firstLineChars="200"/>
        <w:textAlignment w:val="auto"/>
        <w:rPr>
          <w:rFonts w:hint="eastAsia" w:ascii="黑体" w:eastAsia="黑体"/>
          <w:bCs/>
          <w:sz w:val="32"/>
          <w:szCs w:val="32"/>
          <w:shd w:val="clear" w:color="auto" w:fill="FFFFFF"/>
          <w:lang w:val="en-US" w:eastAsia="zh-CN"/>
        </w:rPr>
      </w:pPr>
      <w:r>
        <w:rPr>
          <w:rFonts w:hint="eastAsia" w:ascii="黑体" w:eastAsia="黑体"/>
          <w:bCs/>
          <w:sz w:val="32"/>
          <w:szCs w:val="32"/>
          <w:shd w:val="clear" w:color="auto" w:fill="FFFFFF"/>
          <w:lang w:eastAsia="zh-CN"/>
        </w:rPr>
        <w:t>七</w:t>
      </w:r>
      <w:r>
        <w:rPr>
          <w:rFonts w:hint="eastAsia" w:ascii="黑体" w:eastAsia="黑体"/>
          <w:bCs/>
          <w:sz w:val="32"/>
          <w:szCs w:val="32"/>
          <w:shd w:val="clear" w:color="auto" w:fill="FFFFFF"/>
        </w:rPr>
        <w:t>、</w:t>
      </w:r>
      <w:r>
        <w:rPr>
          <w:rFonts w:hint="eastAsia" w:ascii="黑体" w:eastAsia="黑体"/>
          <w:bCs/>
          <w:sz w:val="32"/>
          <w:szCs w:val="32"/>
          <w:shd w:val="clear" w:color="auto" w:fill="FFFFFF"/>
          <w:lang w:val="en-US" w:eastAsia="zh-CN"/>
        </w:rPr>
        <w:t>其他</w:t>
      </w:r>
    </w:p>
    <w:p>
      <w:pPr>
        <w:keepNext w:val="0"/>
        <w:keepLines w:val="0"/>
        <w:pageBreakBefore w:val="0"/>
        <w:kinsoku/>
        <w:wordWrap/>
        <w:overflowPunct/>
        <w:topLinePunct w:val="0"/>
        <w:bidi w:val="0"/>
        <w:adjustRightInd/>
        <w:snapToGrid/>
        <w:spacing w:line="560" w:lineRule="exact"/>
        <w:ind w:firstLine="640" w:firstLineChars="200"/>
        <w:textAlignment w:val="auto"/>
        <w:rPr>
          <w:rFonts w:hint="eastAsia" w:ascii="仿宋_GB2312" w:hAnsi="Arial" w:eastAsia="仿宋_GB2312" w:cs="Arial"/>
          <w:color w:val="333333"/>
          <w:sz w:val="32"/>
          <w:szCs w:val="32"/>
          <w:shd w:val="clear" w:color="auto" w:fill="FFFFFF"/>
        </w:rPr>
      </w:pPr>
      <w:r>
        <w:rPr>
          <w:rFonts w:ascii="仿宋_GB2312" w:hAnsi="Arial" w:eastAsia="仿宋_GB2312" w:cs="Arial"/>
          <w:color w:val="333333"/>
          <w:sz w:val="32"/>
          <w:szCs w:val="32"/>
          <w:shd w:val="clear" w:color="auto" w:fill="FFFFFF"/>
        </w:rPr>
        <w:t>各地、各有关部门要根据地方实际和服务业领域困难行业特点，加大政策宣传贯彻力度，推动政策落地见效，协调解决政策落实过程中的难点、堵点问题，及时回应社会诉求和关切。</w:t>
      </w:r>
      <w:r>
        <w:rPr>
          <w:rFonts w:hint="eastAsia" w:ascii="仿宋_GB2312" w:hAnsi="Arial" w:eastAsia="仿宋_GB2312" w:cs="Arial"/>
          <w:color w:val="333333"/>
          <w:sz w:val="32"/>
          <w:szCs w:val="32"/>
          <w:shd w:val="clear" w:color="auto" w:fill="FFFFFF"/>
          <w:lang w:val="en-US" w:eastAsia="zh-CN"/>
        </w:rPr>
        <w:t>市政府各相关部门负责制定发布本领域政策措施的实施细则，按程序审定并组织实施。</w:t>
      </w:r>
    </w:p>
    <w:p>
      <w:pPr>
        <w:ind w:firstLine="640" w:firstLineChars="200"/>
        <w:rPr>
          <w:rFonts w:hint="eastAsia" w:ascii="仿宋_GB2312" w:hAnsi="Arial" w:eastAsia="仿宋_GB2312" w:cs="Arial"/>
          <w:color w:val="333333"/>
          <w:sz w:val="32"/>
          <w:szCs w:val="32"/>
          <w:shd w:val="clear" w:color="auto" w:fill="FFFFFF"/>
        </w:rPr>
      </w:pPr>
    </w:p>
    <w:p>
      <w:pPr>
        <w:ind w:firstLine="640" w:firstLineChars="200"/>
        <w:rPr>
          <w:rFonts w:hint="eastAsia" w:ascii="仿宋_GB2312" w:hAnsi="Arial" w:eastAsia="仿宋_GB2312" w:cs="Arial"/>
          <w:color w:val="333333"/>
          <w:sz w:val="32"/>
          <w:szCs w:val="32"/>
          <w:shd w:val="clear" w:color="auto" w:fill="FFFFFF"/>
        </w:rPr>
      </w:pPr>
    </w:p>
    <w:p>
      <w:pPr>
        <w:ind w:firstLine="640" w:firstLineChars="200"/>
        <w:rPr>
          <w:rFonts w:hint="eastAsia" w:ascii="仿宋_GB2312" w:hAnsi="Arial" w:eastAsia="仿宋_GB2312" w:cs="Arial"/>
          <w:color w:val="333333"/>
          <w:sz w:val="32"/>
          <w:szCs w:val="32"/>
          <w:shd w:val="clear" w:color="auto" w:fill="FFFFFF"/>
        </w:rPr>
      </w:pPr>
    </w:p>
    <w:p>
      <w:pPr>
        <w:ind w:firstLine="640" w:firstLineChars="200"/>
        <w:rPr>
          <w:rFonts w:hint="eastAsia" w:ascii="仿宋_GB2312" w:hAnsi="Arial" w:eastAsia="仿宋_GB2312" w:cs="Arial"/>
          <w:color w:val="333333"/>
          <w:sz w:val="32"/>
          <w:szCs w:val="32"/>
          <w:shd w:val="clear" w:color="auto" w:fill="FFFFFF"/>
        </w:rPr>
      </w:pPr>
    </w:p>
    <w:p>
      <w:pPr>
        <w:ind w:firstLine="640" w:firstLineChars="200"/>
        <w:rPr>
          <w:rFonts w:hint="eastAsia" w:ascii="仿宋_GB2312" w:hAnsi="Arial" w:eastAsia="仿宋_GB2312" w:cs="Arial"/>
          <w:color w:val="333333"/>
          <w:sz w:val="32"/>
          <w:szCs w:val="32"/>
          <w:shd w:val="clear" w:color="auto" w:fill="FFFFFF"/>
        </w:rPr>
      </w:pPr>
    </w:p>
    <w:p>
      <w:pPr>
        <w:ind w:firstLine="640" w:firstLineChars="200"/>
        <w:rPr>
          <w:rFonts w:hint="eastAsia" w:ascii="仿宋_GB2312" w:hAnsi="Arial" w:eastAsia="仿宋_GB2312" w:cs="Arial"/>
          <w:color w:val="333333"/>
          <w:sz w:val="32"/>
          <w:szCs w:val="32"/>
          <w:shd w:val="clear" w:color="auto" w:fill="FFFFFF"/>
        </w:rPr>
      </w:pPr>
    </w:p>
    <w:p>
      <w:pPr>
        <w:ind w:firstLine="640" w:firstLineChars="200"/>
        <w:rPr>
          <w:rFonts w:hint="default" w:ascii="仿宋_GB2312" w:hAnsi="Arial" w:eastAsia="仿宋_GB2312" w:cs="Arial"/>
          <w:color w:val="333333"/>
          <w:sz w:val="32"/>
          <w:szCs w:val="32"/>
          <w:shd w:val="clear" w:color="auto" w:fill="FFFFFF"/>
          <w:lang w:val="en-US" w:eastAsia="zh-CN"/>
        </w:rPr>
      </w:pPr>
    </w:p>
    <w:sectPr>
      <w:footerReference r:id="rId5" w:type="default"/>
      <w:pgSz w:w="11910" w:h="16840"/>
      <w:pgMar w:top="1540" w:right="1540" w:bottom="1380" w:left="1680" w:header="0" w:footer="119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3677920</wp:posOffset>
              </wp:positionH>
              <wp:positionV relativeFrom="page">
                <wp:posOffset>9792335</wp:posOffset>
              </wp:positionV>
              <wp:extent cx="203835" cy="1397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203835" cy="139700"/>
                      </a:xfrm>
                      <a:prstGeom prst="rect">
                        <a:avLst/>
                      </a:prstGeom>
                      <a:noFill/>
                      <a:ln>
                        <a:noFill/>
                      </a:ln>
                    </wps:spPr>
                    <wps:txbx>
                      <w:txbxContent>
                        <w:p>
                          <w:pPr>
                            <w:spacing w:before="0" w:line="203" w:lineRule="exact"/>
                            <w:ind w:left="20" w:right="0" w:firstLine="0"/>
                            <w:jc w:val="left"/>
                            <w:rPr>
                              <w:rFonts w:ascii="Calibri"/>
                              <w:sz w:val="18"/>
                            </w:rPr>
                          </w:pPr>
                        </w:p>
                      </w:txbxContent>
                    </wps:txbx>
                    <wps:bodyPr lIns="0" tIns="0" rIns="0" bIns="0" upright="1"/>
                  </wps:wsp>
                </a:graphicData>
              </a:graphic>
            </wp:anchor>
          </w:drawing>
        </mc:Choice>
        <mc:Fallback>
          <w:pict>
            <v:shape id="_x0000_s1026" o:spid="_x0000_s1026" o:spt="202" type="#_x0000_t202" style="position:absolute;left:0pt;margin-left:289.6pt;margin-top:771.05pt;height:11pt;width:16.05pt;mso-position-horizontal-relative:page;mso-position-vertical-relative:page;z-index:-251657216;mso-width-relative:page;mso-height-relative:page;" filled="f" stroked="f" coordsize="21600,21600" o:gfxdata="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Clj7Dw2wAAAA0BAAAPAAAAAAAAAAEAIAAAACIAAABkcnMvZG93bnJldi54bWxQ&#10;SwECFAAUAAAACACHTuJA8XNuDrsBAABxAwAADgAAAAAAAAABACAAAAAqAQAAZHJzL2Uyb0RvYy54&#10;bWxQSwUGAAAAAAYABgBZAQAAVwUAAAAA&#10;">
              <v:fill on="f" focussize="0,0"/>
              <v:stroke on="f"/>
              <v:imagedata o:title=""/>
              <o:lock v:ext="edit" aspectratio="f"/>
              <v:textbox inset="0mm,0mm,0mm,0mm">
                <w:txbxContent>
                  <w:p>
                    <w:pPr>
                      <w:spacing w:before="0" w:line="203" w:lineRule="exact"/>
                      <w:ind w:left="20" w:right="0" w:firstLine="0"/>
                      <w:jc w:val="left"/>
                      <w:rPr>
                        <w:rFonts w:ascii="Calibri"/>
                        <w:sz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displayHorizontalDrawingGridEvery w:val="2"/>
  <w:characterSpacingControl w:val="doNotCompress"/>
  <w:footnotePr>
    <w:footnote w:id="0"/>
    <w:footnote w:id="1"/>
  </w:footnotePr>
  <w:endnotePr>
    <w:endnote w:id="0"/>
    <w:endnote w:id="1"/>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JhYmY2YWY2MzkyZTkxYmVmZjk1NjlkN2JiNDQ0NjIifQ=="/>
  </w:docVars>
  <w:rsids>
    <w:rsidRoot w:val="00000000"/>
    <w:rsid w:val="16361F25"/>
    <w:rsid w:val="17CF1E32"/>
    <w:rsid w:val="3F3D113C"/>
    <w:rsid w:val="40EA1865"/>
    <w:rsid w:val="5F9F525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仿宋_GB2312" w:hAnsi="仿宋_GB2312" w:eastAsia="仿宋_GB2312" w:cs="仿宋_GB2312"/>
      <w:sz w:val="22"/>
      <w:szCs w:val="22"/>
      <w:lang w:val="zh-CN" w:eastAsia="zh-CN" w:bidi="zh-CN"/>
    </w:rPr>
  </w:style>
  <w:style w:type="character" w:default="1" w:styleId="8">
    <w:name w:val="Default Paragraph Font"/>
    <w:semiHidden/>
    <w:unhideWhenUsed/>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仿宋_GB2312" w:hAnsi="仿宋_GB2312" w:eastAsia="仿宋_GB2312" w:cs="仿宋_GB2312"/>
      <w:sz w:val="32"/>
      <w:szCs w:val="32"/>
      <w:lang w:val="zh-CN" w:eastAsia="zh-CN" w:bidi="zh-CN"/>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22"/>
    <w:rPr>
      <w:b/>
      <w:bCs/>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spacing w:before="190"/>
      <w:ind w:left="2200" w:hanging="500"/>
    </w:pPr>
    <w:rPr>
      <w:rFonts w:ascii="仿宋_GB2312" w:hAnsi="仿宋_GB2312" w:eastAsia="仿宋_GB2312" w:cs="仿宋_GB2312"/>
      <w:lang w:val="zh-CN" w:eastAsia="zh-CN" w:bidi="zh-CN"/>
    </w:rPr>
  </w:style>
  <w:style w:type="paragraph" w:customStyle="1" w:styleId="12">
    <w:name w:val="Table Paragraph"/>
    <w:basedOn w:val="1"/>
    <w:qFormat/>
    <w:uiPriority w:val="1"/>
    <w:rPr>
      <w:lang w:val="zh-CN" w:eastAsia="zh-CN" w:bidi="zh-CN"/>
    </w:rPr>
  </w:style>
  <w:style w:type="paragraph" w:customStyle="1" w:styleId="13">
    <w:name w:val="Body text|1"/>
    <w:basedOn w:val="1"/>
    <w:qFormat/>
    <w:uiPriority w:val="0"/>
    <w:pPr>
      <w:widowControl w:val="0"/>
      <w:shd w:val="clear" w:color="auto" w:fill="auto"/>
      <w:spacing w:line="434" w:lineRule="auto"/>
      <w:ind w:firstLine="400"/>
    </w:pPr>
    <w:rPr>
      <w:rFonts w:ascii="宋体" w:hAnsi="宋体" w:eastAsia="宋体" w:cs="宋体"/>
      <w:sz w:val="30"/>
      <w:szCs w:val="30"/>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4590</Words>
  <Characters>4784</Characters>
  <TotalTime>3</TotalTime>
  <ScaleCrop>false</ScaleCrop>
  <LinksUpToDate>false</LinksUpToDate>
  <CharactersWithSpaces>4890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2022-04-08T00:09:00Z</dcterms:created>
  <dc:creator>kylin</dc:creator>
  <cp:lastModifiedBy>张成果</cp:lastModifiedBy>
  <cp:lastPrinted>2022-04-08T01:22:00Z</cp:lastPrinted>
  <dcterms:modified xsi:type="dcterms:W3CDTF">2023-01-12T02:36:28Z</dcterms:modified>
  <dc:title>关于征求《池州市放心消费示范城市创建方案》(征求意见稿)意见的函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2022-04-08T00:00:00Z</vt:filetime>
  </property>
  <property fmtid="{D5CDD505-2E9C-101B-9397-08002B2CF9AE}" pid="3" name="Creator">
    <vt:lpwstr>WPS Writer</vt:lpwstr>
  </property>
  <property fmtid="{D5CDD505-2E9C-101B-9397-08002B2CF9AE}" pid="4" name="LastSaved">
    <vt:filetime>2022-04-08T00:00:00Z</vt:filetime>
  </property>
  <property fmtid="{D5CDD505-2E9C-101B-9397-08002B2CF9AE}" pid="5" name="KSOProductBuildVer">
    <vt:lpwstr>2052-11.1.0.13703</vt:lpwstr>
  </property>
  <property fmtid="{D5CDD505-2E9C-101B-9397-08002B2CF9AE}" pid="6" name="ICV">
    <vt:lpwstr>A5E6D60471884F82B85146B5BAD5A728</vt:lpwstr>
  </property>
</Properties>
</file>